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DBD1A" w14:textId="77777777" w:rsidR="00EC73BF" w:rsidRDefault="00995132" w:rsidP="001A3E36">
      <w:pPr>
        <w:sectPr w:rsidR="00EC73BF" w:rsidSect="00A54E47">
          <w:headerReference w:type="even" r:id="rId11"/>
          <w:headerReference w:type="default" r:id="rId12"/>
          <w:footerReference w:type="default" r:id="rId13"/>
          <w:headerReference w:type="first" r:id="rId14"/>
          <w:footerReference w:type="first" r:id="rId15"/>
          <w:type w:val="oddPage"/>
          <w:pgSz w:w="11906" w:h="16838" w:code="9"/>
          <w:pgMar w:top="1440" w:right="1440" w:bottom="1440" w:left="1440" w:header="709" w:footer="709" w:gutter="0"/>
          <w:cols w:space="708"/>
          <w:titlePg/>
          <w:docGrid w:linePitch="360"/>
        </w:sectPr>
      </w:pPr>
      <w:r w:rsidRPr="00087A9D">
        <w:rPr>
          <w:noProof/>
          <w:sz w:val="44"/>
          <w:lang w:eastAsia="en-AU"/>
        </w:rPr>
        <mc:AlternateContent>
          <mc:Choice Requires="wps">
            <w:drawing>
              <wp:inline distT="0" distB="0" distL="0" distR="0" wp14:anchorId="389B04AB" wp14:editId="2E0EEAE4">
                <wp:extent cx="5760000" cy="7683592"/>
                <wp:effectExtent l="0" t="0" r="1270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7683592"/>
                        </a:xfrm>
                        <a:prstGeom prst="rect">
                          <a:avLst/>
                        </a:prstGeom>
                        <a:solidFill>
                          <a:schemeClr val="accent4"/>
                        </a:solidFill>
                        <a:ln w="9525" cap="rnd">
                          <a:solidFill>
                            <a:srgbClr val="000000"/>
                          </a:solidFill>
                          <a:round/>
                          <a:headEnd/>
                          <a:tailEnd/>
                        </a:ln>
                        <a:effectLst>
                          <a:softEdge rad="31750"/>
                        </a:effectLst>
                      </wps:spPr>
                      <wps:txbx>
                        <w:txbxContent>
                          <w:p w14:paraId="10530A46" w14:textId="77777777" w:rsidR="000D6539" w:rsidRPr="00EC73BF" w:rsidRDefault="000D6539" w:rsidP="00EC73BF">
                            <w:pPr>
                              <w:pStyle w:val="Headingcover"/>
                            </w:pPr>
                          </w:p>
                          <w:p w14:paraId="5CBDD12E" w14:textId="77777777" w:rsidR="000D6539" w:rsidRDefault="000D6539" w:rsidP="00EC73BF">
                            <w:pPr>
                              <w:pStyle w:val="Headingcover"/>
                            </w:pPr>
                          </w:p>
                          <w:p w14:paraId="790EC2ED" w14:textId="77777777" w:rsidR="000D6539" w:rsidRDefault="000D6539" w:rsidP="00EC73BF">
                            <w:pPr>
                              <w:pStyle w:val="Headingcover"/>
                            </w:pPr>
                          </w:p>
                          <w:p w14:paraId="4658E98B" w14:textId="77777777" w:rsidR="000D6539" w:rsidRPr="001C3502" w:rsidRDefault="000D6539" w:rsidP="00EC73BF">
                            <w:pPr>
                              <w:pStyle w:val="Headingcover"/>
                            </w:pPr>
                            <w:r w:rsidRPr="001C3502">
                              <w:t>National Disability Insurance Scheme</w:t>
                            </w:r>
                          </w:p>
                          <w:p w14:paraId="5C04659E" w14:textId="77777777" w:rsidR="000D6539" w:rsidRPr="001C3502" w:rsidRDefault="000D6539" w:rsidP="00EC73BF">
                            <w:pPr>
                              <w:pStyle w:val="Headingcover"/>
                            </w:pPr>
                          </w:p>
                          <w:p w14:paraId="2FBB3C5C" w14:textId="77777777" w:rsidR="000D6539" w:rsidRPr="001C3502" w:rsidRDefault="000D6539" w:rsidP="00EC73BF">
                            <w:pPr>
                              <w:pStyle w:val="Headingcover"/>
                            </w:pPr>
                          </w:p>
                          <w:p w14:paraId="3D0766B8" w14:textId="77777777" w:rsidR="000D6539" w:rsidRPr="001C3502" w:rsidRDefault="000D6539" w:rsidP="00EC73BF">
                            <w:pPr>
                              <w:pStyle w:val="Headingcover"/>
                            </w:pPr>
                          </w:p>
                          <w:p w14:paraId="5FFC7DC1" w14:textId="77777777" w:rsidR="000D6539" w:rsidRPr="001C3502" w:rsidRDefault="000D6539" w:rsidP="00EC73BF">
                            <w:pPr>
                              <w:pStyle w:val="Headingcover"/>
                            </w:pPr>
                          </w:p>
                          <w:p w14:paraId="747137F1" w14:textId="77777777" w:rsidR="000D6539" w:rsidRDefault="000D6539" w:rsidP="00EC73BF">
                            <w:pPr>
                              <w:pStyle w:val="Headingcover"/>
                            </w:pPr>
                            <w:r>
                              <w:t>Disability Support Worker</w:t>
                            </w:r>
                            <w:r>
                              <w:br/>
                            </w:r>
                            <w:r w:rsidRPr="001C3502">
                              <w:t xml:space="preserve">Cost Model </w:t>
                            </w:r>
                          </w:p>
                          <w:p w14:paraId="367C08CB" w14:textId="77777777" w:rsidR="000D6539" w:rsidRPr="001C3502" w:rsidRDefault="000D6539" w:rsidP="00EC73BF">
                            <w:pPr>
                              <w:pStyle w:val="Headingcover"/>
                            </w:pPr>
                            <w:r>
                              <w:t>2020-21</w:t>
                            </w:r>
                            <w:r w:rsidRPr="001C3502">
                              <w:br/>
                            </w:r>
                          </w:p>
                          <w:p w14:paraId="4F6A317B" w14:textId="77777777" w:rsidR="000D6539" w:rsidRPr="001C3502" w:rsidRDefault="000D6539" w:rsidP="00EC73BF">
                            <w:pPr>
                              <w:pStyle w:val="Headingcover"/>
                            </w:pPr>
                          </w:p>
                          <w:p w14:paraId="37F91E71" w14:textId="77777777" w:rsidR="000D6539" w:rsidRPr="001C3502" w:rsidRDefault="000D6539" w:rsidP="00EC73BF">
                            <w:pPr>
                              <w:pStyle w:val="Headingcover"/>
                            </w:pPr>
                          </w:p>
                          <w:p w14:paraId="6B1197F6" w14:textId="77777777" w:rsidR="000D6539" w:rsidRPr="00773F6C" w:rsidRDefault="000D6539" w:rsidP="00EC73BF">
                            <w:pPr>
                              <w:pStyle w:val="Headingcover"/>
                              <w:rPr>
                                <w:sz w:val="36"/>
                                <w:szCs w:val="36"/>
                              </w:rPr>
                            </w:pPr>
                            <w:r w:rsidRPr="00773F6C">
                              <w:rPr>
                                <w:sz w:val="36"/>
                                <w:szCs w:val="36"/>
                              </w:rPr>
                              <w:t>Valid from: 1 July 2020</w:t>
                            </w:r>
                          </w:p>
                          <w:p w14:paraId="1CFF9A13" w14:textId="302B3329" w:rsidR="000D6539" w:rsidRPr="00773F6C" w:rsidRDefault="000D6539" w:rsidP="00EC73BF">
                            <w:pPr>
                              <w:pStyle w:val="Headingcover"/>
                              <w:rPr>
                                <w:sz w:val="28"/>
                                <w:szCs w:val="28"/>
                              </w:rPr>
                            </w:pPr>
                            <w:r>
                              <w:rPr>
                                <w:sz w:val="28"/>
                                <w:szCs w:val="28"/>
                              </w:rPr>
                              <w:t>(Version 1.0</w:t>
                            </w:r>
                            <w:r w:rsidRPr="00773F6C">
                              <w:rPr>
                                <w:sz w:val="28"/>
                                <w:szCs w:val="28"/>
                              </w:rPr>
                              <w:t xml:space="preserve"> - </w:t>
                            </w:r>
                            <w:r w:rsidRPr="00996565">
                              <w:rPr>
                                <w:sz w:val="28"/>
                                <w:szCs w:val="28"/>
                              </w:rPr>
                              <w:t xml:space="preserve">Publication Date: </w:t>
                            </w:r>
                            <w:r w:rsidR="00DB00AC">
                              <w:rPr>
                                <w:sz w:val="28"/>
                                <w:szCs w:val="28"/>
                              </w:rPr>
                              <w:t>27</w:t>
                            </w:r>
                            <w:r>
                              <w:rPr>
                                <w:sz w:val="28"/>
                                <w:szCs w:val="28"/>
                              </w:rPr>
                              <w:t xml:space="preserve"> July </w:t>
                            </w:r>
                            <w:r w:rsidRPr="00996565">
                              <w:rPr>
                                <w:sz w:val="28"/>
                                <w:szCs w:val="28"/>
                              </w:rPr>
                              <w:t>2020)</w:t>
                            </w:r>
                          </w:p>
                        </w:txbxContent>
                      </wps:txbx>
                      <wps:bodyPr rot="0" vert="horz" wrap="square" lIns="91440" tIns="45720" rIns="91440" bIns="45720" anchor="t" anchorCtr="0">
                        <a:noAutofit/>
                      </wps:bodyPr>
                    </wps:wsp>
                  </a:graphicData>
                </a:graphic>
              </wp:inline>
            </w:drawing>
          </mc:Choice>
          <mc:Fallback>
            <w:pict>
              <v:shapetype w14:anchorId="389B04AB" id="_x0000_t202" coordsize="21600,21600" o:spt="202" path="m,l,21600r21600,l21600,xe">
                <v:stroke joinstyle="miter"/>
                <v:path gradientshapeok="t" o:connecttype="rect"/>
              </v:shapetype>
              <v:shape id="Text Box 2" o:spid="_x0000_s1026" type="#_x0000_t202" style="width:453.5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" fillcolor="#6b2976 [3207]">
                <v:stroke joinstyle="round" endcap="round"/>
                <v:textbox>
                  <w:txbxContent>
                    <w:p w14:paraId="10530A46" w14:textId="77777777" w:rsidR="000D6539" w:rsidRPr="00EC73BF" w:rsidRDefault="000D6539" w:rsidP="00EC73BF">
                      <w:pPr>
                        <w:pStyle w:val="Headingcover"/>
                      </w:pPr>
                    </w:p>
                    <w:p w14:paraId="5CBDD12E" w14:textId="77777777" w:rsidR="000D6539" w:rsidRDefault="000D6539" w:rsidP="00EC73BF">
                      <w:pPr>
                        <w:pStyle w:val="Headingcover"/>
                      </w:pPr>
                    </w:p>
                    <w:p w14:paraId="790EC2ED" w14:textId="77777777" w:rsidR="000D6539" w:rsidRDefault="000D6539" w:rsidP="00EC73BF">
                      <w:pPr>
                        <w:pStyle w:val="Headingcover"/>
                      </w:pPr>
                    </w:p>
                    <w:p w14:paraId="4658E98B" w14:textId="77777777" w:rsidR="000D6539" w:rsidRPr="001C3502" w:rsidRDefault="000D6539" w:rsidP="00EC73BF">
                      <w:pPr>
                        <w:pStyle w:val="Headingcover"/>
                      </w:pPr>
                      <w:r w:rsidRPr="001C3502">
                        <w:t>National Disability Insurance Scheme</w:t>
                      </w:r>
                    </w:p>
                    <w:p w14:paraId="5C04659E" w14:textId="77777777" w:rsidR="000D6539" w:rsidRPr="001C3502" w:rsidRDefault="000D6539" w:rsidP="00EC73BF">
                      <w:pPr>
                        <w:pStyle w:val="Headingcover"/>
                      </w:pPr>
                    </w:p>
                    <w:p w14:paraId="2FBB3C5C" w14:textId="77777777" w:rsidR="000D6539" w:rsidRPr="001C3502" w:rsidRDefault="000D6539" w:rsidP="00EC73BF">
                      <w:pPr>
                        <w:pStyle w:val="Headingcover"/>
                      </w:pPr>
                    </w:p>
                    <w:p w14:paraId="3D0766B8" w14:textId="77777777" w:rsidR="000D6539" w:rsidRPr="001C3502" w:rsidRDefault="000D6539" w:rsidP="00EC73BF">
                      <w:pPr>
                        <w:pStyle w:val="Headingcover"/>
                      </w:pPr>
                    </w:p>
                    <w:p w14:paraId="5FFC7DC1" w14:textId="77777777" w:rsidR="000D6539" w:rsidRPr="001C3502" w:rsidRDefault="000D6539" w:rsidP="00EC73BF">
                      <w:pPr>
                        <w:pStyle w:val="Headingcover"/>
                      </w:pPr>
                    </w:p>
                    <w:p w14:paraId="747137F1" w14:textId="77777777" w:rsidR="000D6539" w:rsidRDefault="000D6539" w:rsidP="00EC73BF">
                      <w:pPr>
                        <w:pStyle w:val="Headingcover"/>
                      </w:pPr>
                      <w:r>
                        <w:t>Disability Support Worker</w:t>
                      </w:r>
                      <w:r>
                        <w:br/>
                      </w:r>
                      <w:r w:rsidRPr="001C3502">
                        <w:t xml:space="preserve">Cost Model </w:t>
                      </w:r>
                    </w:p>
                    <w:p w14:paraId="367C08CB" w14:textId="77777777" w:rsidR="000D6539" w:rsidRPr="001C3502" w:rsidRDefault="000D6539" w:rsidP="00EC73BF">
                      <w:pPr>
                        <w:pStyle w:val="Headingcover"/>
                      </w:pPr>
                      <w:r>
                        <w:t>2020-21</w:t>
                      </w:r>
                      <w:r w:rsidRPr="001C3502">
                        <w:br/>
                      </w:r>
                    </w:p>
                    <w:p w14:paraId="4F6A317B" w14:textId="77777777" w:rsidR="000D6539" w:rsidRPr="001C3502" w:rsidRDefault="000D6539" w:rsidP="00EC73BF">
                      <w:pPr>
                        <w:pStyle w:val="Headingcover"/>
                      </w:pPr>
                    </w:p>
                    <w:p w14:paraId="37F91E71" w14:textId="77777777" w:rsidR="000D6539" w:rsidRPr="001C3502" w:rsidRDefault="000D6539" w:rsidP="00EC73BF">
                      <w:pPr>
                        <w:pStyle w:val="Headingcover"/>
                      </w:pPr>
                    </w:p>
                    <w:p w14:paraId="6B1197F6" w14:textId="77777777" w:rsidR="000D6539" w:rsidRPr="00773F6C" w:rsidRDefault="000D6539" w:rsidP="00EC73BF">
                      <w:pPr>
                        <w:pStyle w:val="Headingcover"/>
                        <w:rPr>
                          <w:sz w:val="36"/>
                          <w:szCs w:val="36"/>
                        </w:rPr>
                      </w:pPr>
                      <w:r w:rsidRPr="00773F6C">
                        <w:rPr>
                          <w:sz w:val="36"/>
                          <w:szCs w:val="36"/>
                        </w:rPr>
                        <w:t>Valid from: 1 July 2020</w:t>
                      </w:r>
                    </w:p>
                    <w:p w14:paraId="1CFF9A13" w14:textId="302B3329" w:rsidR="000D6539" w:rsidRPr="00773F6C" w:rsidRDefault="000D6539" w:rsidP="00EC73BF">
                      <w:pPr>
                        <w:pStyle w:val="Headingcover"/>
                        <w:rPr>
                          <w:sz w:val="28"/>
                          <w:szCs w:val="28"/>
                        </w:rPr>
                      </w:pPr>
                      <w:r>
                        <w:rPr>
                          <w:sz w:val="28"/>
                          <w:szCs w:val="28"/>
                        </w:rPr>
                        <w:t>(Version 1.0</w:t>
                      </w:r>
                      <w:r w:rsidRPr="00773F6C">
                        <w:rPr>
                          <w:sz w:val="28"/>
                          <w:szCs w:val="28"/>
                        </w:rPr>
                        <w:t xml:space="preserve"> - </w:t>
                      </w:r>
                      <w:r w:rsidRPr="00996565">
                        <w:rPr>
                          <w:sz w:val="28"/>
                          <w:szCs w:val="28"/>
                        </w:rPr>
                        <w:t xml:space="preserve">Publication Date: </w:t>
                      </w:r>
                      <w:r w:rsidR="00DB00AC">
                        <w:rPr>
                          <w:sz w:val="28"/>
                          <w:szCs w:val="28"/>
                        </w:rPr>
                        <w:t>27</w:t>
                      </w:r>
                      <w:r>
                        <w:rPr>
                          <w:sz w:val="28"/>
                          <w:szCs w:val="28"/>
                        </w:rPr>
                        <w:t xml:space="preserve"> July </w:t>
                      </w:r>
                      <w:r w:rsidRPr="00996565">
                        <w:rPr>
                          <w:sz w:val="28"/>
                          <w:szCs w:val="28"/>
                        </w:rPr>
                        <w:t>2020)</w:t>
                      </w:r>
                    </w:p>
                  </w:txbxContent>
                </v:textbox>
                <w10:anchorlock/>
              </v:shape>
            </w:pict>
          </mc:Fallback>
        </mc:AlternateContent>
      </w:r>
      <w:r w:rsidR="00BF276E" w:rsidRPr="00087A9D">
        <w:br w:type="page"/>
      </w:r>
    </w:p>
    <w:p w14:paraId="638C5939" w14:textId="77777777" w:rsidR="005F1C33" w:rsidRPr="00087A9D" w:rsidRDefault="00CD599B" w:rsidP="001A3E36">
      <w:pPr>
        <w:rPr>
          <w:b/>
        </w:rPr>
      </w:pPr>
      <w:r w:rsidRPr="00087A9D">
        <w:rPr>
          <w:b/>
        </w:rPr>
        <w:lastRenderedPageBreak/>
        <w:t>C</w:t>
      </w:r>
      <w:r w:rsidR="005F1C33" w:rsidRPr="00087A9D">
        <w:rPr>
          <w:b/>
        </w:rPr>
        <w:t>opyright</w:t>
      </w:r>
    </w:p>
    <w:p w14:paraId="1A47C430" w14:textId="77777777" w:rsidR="005F1C33" w:rsidRPr="00087A9D" w:rsidRDefault="005F1C33" w:rsidP="001A3E36">
      <w:r w:rsidRPr="00087A9D">
        <w:t xml:space="preserve">Copyright in the information contained </w:t>
      </w:r>
      <w:r w:rsidR="00775FAB">
        <w:t>i</w:t>
      </w:r>
      <w:r w:rsidRPr="00087A9D">
        <w:t xml:space="preserve">n this </w:t>
      </w:r>
      <w:r w:rsidR="00E27A53">
        <w:t>document</w:t>
      </w:r>
      <w:r w:rsidR="00EC4C95" w:rsidRPr="00087A9D">
        <w:t xml:space="preserve"> </w:t>
      </w:r>
      <w:r w:rsidRPr="00087A9D">
        <w:t>is owned and protected by the National Disability Insurance Scheme Launch Transition Agency (National Disability Insurance Agency).</w:t>
      </w:r>
    </w:p>
    <w:p w14:paraId="4E3E2F2B" w14:textId="77777777" w:rsidR="005F1C33" w:rsidRPr="00087A9D" w:rsidRDefault="005F1C33" w:rsidP="001A3E36"/>
    <w:p w14:paraId="42A45445" w14:textId="77777777" w:rsidR="005F1C33" w:rsidRPr="00087A9D" w:rsidRDefault="005F1C33" w:rsidP="001A3E36">
      <w:pPr>
        <w:rPr>
          <w:b/>
        </w:rPr>
      </w:pPr>
      <w:r w:rsidRPr="00087A9D">
        <w:rPr>
          <w:b/>
        </w:rPr>
        <w:t>Use of National Disability Insurance Agency copyright material</w:t>
      </w:r>
    </w:p>
    <w:p w14:paraId="3541B821" w14:textId="77777777" w:rsidR="005F1C33" w:rsidRPr="00087A9D" w:rsidRDefault="005F1C33" w:rsidP="001A3E36">
      <w:r w:rsidRPr="00087A9D">
        <w:t xml:space="preserve">The material in this report with the exception of logos, </w:t>
      </w:r>
      <w:r w:rsidR="00CF2B90" w:rsidRPr="00087A9D">
        <w:t>trademarks</w:t>
      </w:r>
      <w:r w:rsidRPr="00087A9D">
        <w:t xml:space="preserve">, third party material and other content as specified is licensed under Creative Commons CC NC licence, version 3.0. With the exception of logos, </w:t>
      </w:r>
      <w:r w:rsidR="00CF2B90" w:rsidRPr="00087A9D">
        <w:t>trademarks</w:t>
      </w:r>
      <w:r w:rsidRPr="00087A9D">
        <w:t xml:space="preserve">, third party material and other content as specified, you may reproduce the material in this </w:t>
      </w:r>
      <w:r w:rsidR="008B0630">
        <w:t>Cost Model</w:t>
      </w:r>
      <w:r w:rsidRPr="00087A9D">
        <w:t>, provided you acknowledge the National Disability Insurance Agency as the owner of all intellectual property rights in the reproduced material by using ‘© National Disability Insurance Sche</w:t>
      </w:r>
      <w:r w:rsidR="00773F6C">
        <w:t>me Launch Transition Agency 2020</w:t>
      </w:r>
      <w:r w:rsidRPr="00087A9D">
        <w:t>’ and do not use the material for commercial purposes.</w:t>
      </w:r>
    </w:p>
    <w:p w14:paraId="35419465" w14:textId="77777777" w:rsidR="005F1C33" w:rsidRPr="00087A9D" w:rsidRDefault="005F1C33" w:rsidP="001A3E36">
      <w:r w:rsidRPr="00087A9D">
        <w:t xml:space="preserve">Reproduction of any Creative Commons material in this </w:t>
      </w:r>
      <w:r w:rsidR="00CD7CF3">
        <w:t>document</w:t>
      </w:r>
      <w:r w:rsidRPr="00087A9D">
        <w:t xml:space="preserve"> is subject to the CC NC licence conditions available on the Creative Commons site, as is the full legal code for this material.</w:t>
      </w:r>
    </w:p>
    <w:p w14:paraId="2FE6A854" w14:textId="77777777" w:rsidR="005F1C33" w:rsidRPr="00087A9D" w:rsidRDefault="005F1C33" w:rsidP="001A3E36"/>
    <w:p w14:paraId="3ED47CDA" w14:textId="77777777" w:rsidR="008B4DE2" w:rsidRPr="00087A9D" w:rsidRDefault="008B4DE2" w:rsidP="001A3E36">
      <w:pPr>
        <w:rPr>
          <w:b/>
        </w:rPr>
      </w:pPr>
      <w:r w:rsidRPr="00087A9D">
        <w:rPr>
          <w:b/>
        </w:rPr>
        <w:t>Terms that we use</w:t>
      </w:r>
    </w:p>
    <w:tbl>
      <w:tblPr>
        <w:tblStyle w:val="PlainTable4"/>
        <w:tblW w:w="0" w:type="auto"/>
        <w:tblLook w:val="0600" w:firstRow="0" w:lastRow="0" w:firstColumn="0" w:lastColumn="0" w:noHBand="1" w:noVBand="1"/>
        <w:tblCaption w:val="Terms that we Use"/>
        <w:tblDescription w:val="Definitions of acronyms used throughout the document: NDIA is the acronym for National Disability Insurance Agency, NDIS is the acronym for National Disability Insurance Scheme, NDIS Q &amp; SC is the acronym for National Disability Insurance Scheme Quality and Safeguards Commission, OOA is the acronym for On-site Overnight Assistance, SDA is the acronym for Specialist Disability Accommodation"/>
      </w:tblPr>
      <w:tblGrid>
        <w:gridCol w:w="2122"/>
        <w:gridCol w:w="6894"/>
      </w:tblGrid>
      <w:tr w:rsidR="00CD7CF3" w:rsidRPr="00087A9D" w14:paraId="4B3E799E" w14:textId="77777777" w:rsidTr="009418DE">
        <w:trPr>
          <w:tblHeader/>
        </w:trPr>
        <w:tc>
          <w:tcPr>
            <w:tcW w:w="2122" w:type="dxa"/>
          </w:tcPr>
          <w:p w14:paraId="78C684F8" w14:textId="77777777" w:rsidR="00CD7CF3" w:rsidRPr="00087A9D" w:rsidRDefault="00CD7CF3" w:rsidP="001A3E36">
            <w:r>
              <w:t>DSW</w:t>
            </w:r>
          </w:p>
        </w:tc>
        <w:tc>
          <w:tcPr>
            <w:tcW w:w="6894" w:type="dxa"/>
          </w:tcPr>
          <w:p w14:paraId="72E80CC3" w14:textId="77777777" w:rsidR="00CD7CF3" w:rsidRPr="00087A9D" w:rsidRDefault="00CD7CF3" w:rsidP="001A3E36">
            <w:r>
              <w:t>Disability Support Worker</w:t>
            </w:r>
          </w:p>
        </w:tc>
      </w:tr>
      <w:tr w:rsidR="008B4DE2" w:rsidRPr="00087A9D" w14:paraId="46137C7E" w14:textId="77777777" w:rsidTr="009418DE">
        <w:trPr>
          <w:tblHeader/>
        </w:trPr>
        <w:tc>
          <w:tcPr>
            <w:tcW w:w="2122" w:type="dxa"/>
          </w:tcPr>
          <w:p w14:paraId="36CC8814" w14:textId="77777777" w:rsidR="008B4DE2" w:rsidRPr="00087A9D" w:rsidRDefault="008B4DE2" w:rsidP="001A3E36">
            <w:r w:rsidRPr="00087A9D">
              <w:t>NDIA</w:t>
            </w:r>
          </w:p>
        </w:tc>
        <w:tc>
          <w:tcPr>
            <w:tcW w:w="6894" w:type="dxa"/>
          </w:tcPr>
          <w:p w14:paraId="5F8D2D66" w14:textId="77777777" w:rsidR="008B4DE2" w:rsidRPr="00087A9D" w:rsidRDefault="008B4DE2" w:rsidP="001A3E36">
            <w:r w:rsidRPr="00087A9D">
              <w:t>National Disability Insurance Agency</w:t>
            </w:r>
          </w:p>
        </w:tc>
      </w:tr>
      <w:tr w:rsidR="008B4DE2" w:rsidRPr="00087A9D" w14:paraId="617B10C5" w14:textId="77777777" w:rsidTr="008B4DE2">
        <w:tc>
          <w:tcPr>
            <w:tcW w:w="2122" w:type="dxa"/>
          </w:tcPr>
          <w:p w14:paraId="749BD0D3" w14:textId="77777777" w:rsidR="008B4DE2" w:rsidRPr="00087A9D" w:rsidRDefault="008B4DE2" w:rsidP="001A3E36">
            <w:r w:rsidRPr="00087A9D">
              <w:t>NDIS</w:t>
            </w:r>
          </w:p>
        </w:tc>
        <w:tc>
          <w:tcPr>
            <w:tcW w:w="6894" w:type="dxa"/>
          </w:tcPr>
          <w:p w14:paraId="18A733CD" w14:textId="77777777" w:rsidR="008B4DE2" w:rsidRPr="00087A9D" w:rsidRDefault="008B4DE2" w:rsidP="001A3E36">
            <w:r w:rsidRPr="00087A9D">
              <w:t>National Disability Insurance Scheme</w:t>
            </w:r>
          </w:p>
        </w:tc>
      </w:tr>
      <w:tr w:rsidR="008B4DE2" w:rsidRPr="00087A9D" w14:paraId="0E4F830D" w14:textId="77777777" w:rsidTr="008B4DE2">
        <w:tc>
          <w:tcPr>
            <w:tcW w:w="2122" w:type="dxa"/>
          </w:tcPr>
          <w:p w14:paraId="493F327A" w14:textId="77777777" w:rsidR="008B4DE2" w:rsidRPr="00087A9D" w:rsidRDefault="00CD53B0" w:rsidP="001A3E36">
            <w:r>
              <w:t>TTP</w:t>
            </w:r>
          </w:p>
        </w:tc>
        <w:tc>
          <w:tcPr>
            <w:tcW w:w="6894" w:type="dxa"/>
          </w:tcPr>
          <w:p w14:paraId="18805527" w14:textId="77777777" w:rsidR="008B4DE2" w:rsidRPr="00087A9D" w:rsidRDefault="00CD53B0" w:rsidP="001A3E36">
            <w:r>
              <w:t>Temporary Transformation Payment</w:t>
            </w:r>
          </w:p>
        </w:tc>
      </w:tr>
    </w:tbl>
    <w:p w14:paraId="1B6340F3" w14:textId="77777777" w:rsidR="008B4DE2" w:rsidRPr="00087A9D" w:rsidRDefault="008B4DE2" w:rsidP="001A3E36"/>
    <w:p w14:paraId="49BF58BC" w14:textId="77777777" w:rsidR="005F1C33" w:rsidRPr="00087A9D" w:rsidRDefault="005F1C33" w:rsidP="001A3E36">
      <w:pPr>
        <w:rPr>
          <w:b/>
        </w:rPr>
      </w:pPr>
      <w:r w:rsidRPr="00087A9D">
        <w:rPr>
          <w:b/>
        </w:rPr>
        <w:t>Further information</w:t>
      </w:r>
    </w:p>
    <w:p w14:paraId="4CBBEF73" w14:textId="77777777" w:rsidR="00713C8A" w:rsidRDefault="005F1C33" w:rsidP="001A3E36">
      <w:pPr>
        <w:rPr>
          <w:rStyle w:val="Hyperlink"/>
        </w:rPr>
      </w:pPr>
      <w:r w:rsidRPr="00087A9D">
        <w:t>Further information on pricing in the National Disability Insurance Scheme can be found at</w:t>
      </w:r>
      <w:r w:rsidR="00713C8A" w:rsidRPr="00087A9D">
        <w:t xml:space="preserve"> </w:t>
      </w:r>
      <w:r w:rsidR="00AA0DA9" w:rsidRPr="00087A9D">
        <w:t xml:space="preserve">the </w:t>
      </w:r>
      <w:hyperlink r:id="rId16" w:history="1">
        <w:r w:rsidR="00AA0DA9" w:rsidRPr="00087A9D">
          <w:rPr>
            <w:rStyle w:val="Hyperlink"/>
          </w:rPr>
          <w:t>NDIS website</w:t>
        </w:r>
      </w:hyperlink>
    </w:p>
    <w:p w14:paraId="60DDEFBC" w14:textId="77777777" w:rsidR="00C1690B" w:rsidRDefault="00C1690B" w:rsidP="001A3E36">
      <w:pPr>
        <w:rPr>
          <w:rStyle w:val="Hyperlink"/>
        </w:rPr>
      </w:pPr>
    </w:p>
    <w:p w14:paraId="3D42DAC9" w14:textId="77777777" w:rsidR="00C1690B" w:rsidRDefault="00C1690B" w:rsidP="001A3E36">
      <w:pPr>
        <w:rPr>
          <w:b/>
        </w:rPr>
      </w:pPr>
      <w:r w:rsidRPr="00C1690B">
        <w:rPr>
          <w:b/>
        </w:rPr>
        <w:t>Footnotes</w:t>
      </w:r>
    </w:p>
    <w:p w14:paraId="48D0228B" w14:textId="77777777" w:rsidR="00C1690B" w:rsidRPr="00C1690B" w:rsidRDefault="00C1690B" w:rsidP="001A3E36">
      <w:pPr>
        <w:rPr>
          <w:b/>
        </w:rPr>
      </w:pPr>
      <w:r w:rsidRPr="00C1690B">
        <w:t>Footnotes are included in Appendix 1 – Footnotes at the end of this report</w:t>
      </w:r>
    </w:p>
    <w:p w14:paraId="73C9F9F2" w14:textId="77777777" w:rsidR="00CD53B0" w:rsidRPr="00CD53B0" w:rsidRDefault="00CD53B0" w:rsidP="00CD53B0"/>
    <w:p w14:paraId="2686B5BF" w14:textId="77777777" w:rsidR="001C3502" w:rsidRPr="00CD53B0" w:rsidRDefault="001C3502" w:rsidP="00CD53B0">
      <w:pPr>
        <w:rPr>
          <w:b/>
        </w:rPr>
      </w:pPr>
      <w:r w:rsidRPr="00CD53B0">
        <w:rPr>
          <w:b/>
        </w:rPr>
        <w:t>Version Control</w:t>
      </w:r>
    </w:p>
    <w:p w14:paraId="18F72B8B" w14:textId="77777777" w:rsidR="001C3502" w:rsidRPr="00CE2443" w:rsidRDefault="001C3502" w:rsidP="001C3502">
      <w:pPr>
        <w:rPr>
          <w:rFonts w:ascii="Arial" w:hAnsi="Arial" w:cs="Arial"/>
        </w:rPr>
      </w:pPr>
      <w:r w:rsidRPr="00CE2443">
        <w:rPr>
          <w:rFonts w:ascii="Arial" w:hAnsi="Arial" w:cs="Arial"/>
        </w:rPr>
        <w:t xml:space="preserve">The NDIS </w:t>
      </w:r>
      <w:r>
        <w:rPr>
          <w:rFonts w:ascii="Arial" w:hAnsi="Arial" w:cs="Arial"/>
        </w:rPr>
        <w:t>Cost Model for Supports Delivered by Disability Support Workers</w:t>
      </w:r>
      <w:r w:rsidRPr="00CE2443">
        <w:rPr>
          <w:rFonts w:ascii="Arial" w:hAnsi="Arial" w:cs="Arial"/>
        </w:rPr>
        <w:t xml:space="preserve"> is subject to change. The latest version of the NDIS </w:t>
      </w:r>
      <w:r>
        <w:rPr>
          <w:rFonts w:ascii="Arial" w:hAnsi="Arial" w:cs="Arial"/>
        </w:rPr>
        <w:t xml:space="preserve">Cost Model </w:t>
      </w:r>
      <w:r w:rsidRPr="00CE2443">
        <w:rPr>
          <w:rFonts w:ascii="Arial" w:hAnsi="Arial" w:cs="Arial"/>
        </w:rPr>
        <w:t xml:space="preserve">is available on the </w:t>
      </w:r>
      <w:hyperlink r:id="rId17" w:history="1">
        <w:r w:rsidRPr="00CE2443">
          <w:rPr>
            <w:rStyle w:val="Hyperlink"/>
            <w:rFonts w:ascii="Arial" w:hAnsi="Arial" w:cs="Arial"/>
          </w:rPr>
          <w:t>NDIS website</w:t>
        </w:r>
      </w:hyperlink>
      <w:r w:rsidRPr="00CE2443">
        <w:rPr>
          <w:rFonts w:ascii="Arial" w:hAnsi="Arial" w:cs="Arial"/>
        </w:rPr>
        <w:t>.</w:t>
      </w:r>
    </w:p>
    <w:tbl>
      <w:tblPr>
        <w:tblStyle w:val="TableGrid1"/>
        <w:tblW w:w="5000" w:type="pct"/>
        <w:tblLook w:val="04A0" w:firstRow="1" w:lastRow="0" w:firstColumn="1" w:lastColumn="0" w:noHBand="0" w:noVBand="1"/>
        <w:tblDescription w:val="Version Control"/>
      </w:tblPr>
      <w:tblGrid>
        <w:gridCol w:w="911"/>
        <w:gridCol w:w="902"/>
        <w:gridCol w:w="4508"/>
        <w:gridCol w:w="1352"/>
        <w:gridCol w:w="1343"/>
      </w:tblGrid>
      <w:tr w:rsidR="001C3502" w:rsidRPr="00CE2443" w14:paraId="3785B9A3" w14:textId="77777777" w:rsidTr="00E93F35">
        <w:trPr>
          <w:tblHeader/>
        </w:trPr>
        <w:tc>
          <w:tcPr>
            <w:tcW w:w="505" w:type="pct"/>
            <w:hideMark/>
          </w:tcPr>
          <w:p w14:paraId="5D4E2E17" w14:textId="77777777" w:rsidR="001C3502" w:rsidRPr="00CE2443" w:rsidRDefault="001C3502" w:rsidP="001C3502">
            <w:pPr>
              <w:spacing w:before="40" w:after="40"/>
              <w:jc w:val="center"/>
              <w:rPr>
                <w:rFonts w:ascii="Arial" w:hAnsi="Arial" w:cs="Arial"/>
                <w:b/>
                <w:sz w:val="18"/>
                <w:szCs w:val="18"/>
              </w:rPr>
            </w:pPr>
            <w:r w:rsidRPr="00CE2443">
              <w:rPr>
                <w:rFonts w:ascii="Arial" w:hAnsi="Arial" w:cs="Arial"/>
                <w:b/>
                <w:sz w:val="18"/>
                <w:szCs w:val="18"/>
              </w:rPr>
              <w:t>Version</w:t>
            </w:r>
          </w:p>
        </w:tc>
        <w:tc>
          <w:tcPr>
            <w:tcW w:w="500" w:type="pct"/>
          </w:tcPr>
          <w:p w14:paraId="1B4B03D8" w14:textId="77777777" w:rsidR="001C3502" w:rsidRPr="00CE2443" w:rsidRDefault="001C3502" w:rsidP="001C3502">
            <w:pPr>
              <w:spacing w:before="40" w:after="40"/>
              <w:jc w:val="center"/>
              <w:rPr>
                <w:rFonts w:ascii="Arial" w:hAnsi="Arial" w:cs="Arial"/>
                <w:b/>
                <w:sz w:val="18"/>
                <w:szCs w:val="18"/>
              </w:rPr>
            </w:pPr>
            <w:r w:rsidRPr="00CE2443">
              <w:rPr>
                <w:rFonts w:ascii="Arial" w:hAnsi="Arial" w:cs="Arial"/>
                <w:b/>
                <w:sz w:val="18"/>
                <w:szCs w:val="18"/>
              </w:rPr>
              <w:t>Page</w:t>
            </w:r>
          </w:p>
        </w:tc>
        <w:tc>
          <w:tcPr>
            <w:tcW w:w="2500" w:type="pct"/>
            <w:hideMark/>
          </w:tcPr>
          <w:p w14:paraId="27DF46FE" w14:textId="77777777" w:rsidR="001C3502" w:rsidRPr="00CE2443" w:rsidRDefault="001C3502" w:rsidP="001C3502">
            <w:pPr>
              <w:spacing w:before="40" w:after="40"/>
              <w:rPr>
                <w:rFonts w:ascii="Arial" w:hAnsi="Arial" w:cs="Arial"/>
                <w:b/>
                <w:sz w:val="18"/>
                <w:szCs w:val="18"/>
              </w:rPr>
            </w:pPr>
            <w:r w:rsidRPr="00CE2443">
              <w:rPr>
                <w:rFonts w:ascii="Arial" w:hAnsi="Arial" w:cs="Arial"/>
                <w:b/>
                <w:sz w:val="18"/>
                <w:szCs w:val="18"/>
              </w:rPr>
              <w:t>Details of Amendment</w:t>
            </w:r>
          </w:p>
        </w:tc>
        <w:tc>
          <w:tcPr>
            <w:tcW w:w="750" w:type="pct"/>
            <w:hideMark/>
          </w:tcPr>
          <w:p w14:paraId="3BB349BA" w14:textId="77777777" w:rsidR="001C3502" w:rsidRPr="00CE2443" w:rsidRDefault="001C3502" w:rsidP="0014173A">
            <w:pPr>
              <w:spacing w:before="40" w:after="40"/>
              <w:jc w:val="center"/>
              <w:rPr>
                <w:rFonts w:ascii="Arial" w:hAnsi="Arial" w:cs="Arial"/>
                <w:b/>
                <w:sz w:val="18"/>
                <w:szCs w:val="18"/>
              </w:rPr>
            </w:pPr>
            <w:r w:rsidRPr="00CE2443">
              <w:rPr>
                <w:rFonts w:ascii="Arial" w:hAnsi="Arial" w:cs="Arial"/>
                <w:b/>
                <w:sz w:val="18"/>
                <w:szCs w:val="18"/>
              </w:rPr>
              <w:t>Release</w:t>
            </w:r>
            <w:r w:rsidRPr="00CE2443">
              <w:rPr>
                <w:rFonts w:ascii="Arial" w:hAnsi="Arial" w:cs="Arial"/>
                <w:b/>
                <w:sz w:val="18"/>
                <w:szCs w:val="18"/>
              </w:rPr>
              <w:br/>
              <w:t>Date</w:t>
            </w:r>
          </w:p>
        </w:tc>
        <w:tc>
          <w:tcPr>
            <w:tcW w:w="745" w:type="pct"/>
          </w:tcPr>
          <w:p w14:paraId="68203B09" w14:textId="77777777" w:rsidR="001C3502" w:rsidRPr="00CE2443" w:rsidRDefault="001C3502" w:rsidP="0014173A">
            <w:pPr>
              <w:spacing w:before="40" w:after="40"/>
              <w:jc w:val="center"/>
              <w:rPr>
                <w:rFonts w:ascii="Arial" w:hAnsi="Arial" w:cs="Arial"/>
                <w:b/>
                <w:sz w:val="18"/>
                <w:szCs w:val="18"/>
              </w:rPr>
            </w:pPr>
            <w:r w:rsidRPr="00CE2443">
              <w:rPr>
                <w:rFonts w:ascii="Arial" w:hAnsi="Arial" w:cs="Arial"/>
                <w:b/>
                <w:sz w:val="18"/>
                <w:szCs w:val="18"/>
              </w:rPr>
              <w:t>Operative</w:t>
            </w:r>
            <w:r w:rsidRPr="00CE2443">
              <w:rPr>
                <w:rFonts w:ascii="Arial" w:hAnsi="Arial" w:cs="Arial"/>
                <w:b/>
                <w:sz w:val="18"/>
                <w:szCs w:val="18"/>
              </w:rPr>
              <w:br/>
              <w:t>Date</w:t>
            </w:r>
          </w:p>
        </w:tc>
      </w:tr>
      <w:tr w:rsidR="001C3502" w:rsidRPr="00CE2443" w14:paraId="2B964D7B" w14:textId="77777777" w:rsidTr="00E93F35">
        <w:trPr>
          <w:tblHeader/>
        </w:trPr>
        <w:tc>
          <w:tcPr>
            <w:tcW w:w="505" w:type="pct"/>
            <w:hideMark/>
          </w:tcPr>
          <w:p w14:paraId="202F753D" w14:textId="77777777" w:rsidR="001C3502" w:rsidRPr="0014173A" w:rsidRDefault="001C3502" w:rsidP="001C3502">
            <w:pPr>
              <w:spacing w:before="40" w:after="40"/>
              <w:jc w:val="center"/>
              <w:rPr>
                <w:rFonts w:ascii="Arial" w:hAnsi="Arial" w:cs="Arial"/>
                <w:sz w:val="18"/>
                <w:szCs w:val="18"/>
              </w:rPr>
            </w:pPr>
            <w:r w:rsidRPr="0014173A">
              <w:rPr>
                <w:rFonts w:ascii="Arial" w:hAnsi="Arial" w:cs="Arial"/>
                <w:sz w:val="18"/>
                <w:szCs w:val="18"/>
              </w:rPr>
              <w:t>1.0</w:t>
            </w:r>
          </w:p>
        </w:tc>
        <w:tc>
          <w:tcPr>
            <w:tcW w:w="500" w:type="pct"/>
          </w:tcPr>
          <w:p w14:paraId="57B16286" w14:textId="77777777" w:rsidR="001C3502" w:rsidRPr="0014173A" w:rsidRDefault="001C3502" w:rsidP="001C3502">
            <w:pPr>
              <w:spacing w:before="40" w:after="40"/>
              <w:jc w:val="center"/>
              <w:rPr>
                <w:rFonts w:ascii="Arial" w:hAnsi="Arial" w:cs="Arial"/>
                <w:sz w:val="18"/>
                <w:szCs w:val="18"/>
              </w:rPr>
            </w:pPr>
          </w:p>
        </w:tc>
        <w:tc>
          <w:tcPr>
            <w:tcW w:w="2500" w:type="pct"/>
            <w:hideMark/>
          </w:tcPr>
          <w:p w14:paraId="4B1DA5D1" w14:textId="77777777" w:rsidR="001C3502" w:rsidRPr="0014173A" w:rsidRDefault="001C3502" w:rsidP="001C3502">
            <w:pPr>
              <w:spacing w:before="40" w:after="40"/>
              <w:rPr>
                <w:rFonts w:ascii="Arial" w:hAnsi="Arial" w:cs="Arial"/>
                <w:sz w:val="18"/>
                <w:szCs w:val="18"/>
              </w:rPr>
            </w:pPr>
            <w:r w:rsidRPr="0014173A">
              <w:rPr>
                <w:rFonts w:ascii="Arial" w:hAnsi="Arial" w:cs="Arial"/>
                <w:sz w:val="18"/>
                <w:szCs w:val="18"/>
              </w:rPr>
              <w:t>First Operative Edition</w:t>
            </w:r>
          </w:p>
        </w:tc>
        <w:tc>
          <w:tcPr>
            <w:tcW w:w="750" w:type="pct"/>
            <w:hideMark/>
          </w:tcPr>
          <w:p w14:paraId="4B6F156C" w14:textId="799ABCB7" w:rsidR="001C3502" w:rsidRPr="0014173A" w:rsidRDefault="00BC5A1B" w:rsidP="0014173A">
            <w:pPr>
              <w:spacing w:before="40" w:after="40"/>
              <w:jc w:val="center"/>
              <w:rPr>
                <w:rFonts w:ascii="Arial" w:hAnsi="Arial" w:cs="Arial"/>
                <w:sz w:val="18"/>
                <w:szCs w:val="18"/>
              </w:rPr>
            </w:pPr>
            <w:r>
              <w:rPr>
                <w:rFonts w:ascii="Arial" w:hAnsi="Arial" w:cs="Arial"/>
                <w:sz w:val="18"/>
                <w:szCs w:val="18"/>
              </w:rPr>
              <w:t>27</w:t>
            </w:r>
            <w:r w:rsidR="00053CEC">
              <w:rPr>
                <w:rFonts w:ascii="Arial" w:hAnsi="Arial" w:cs="Arial"/>
                <w:sz w:val="18"/>
                <w:szCs w:val="18"/>
              </w:rPr>
              <w:t xml:space="preserve"> </w:t>
            </w:r>
            <w:r w:rsidR="001C3502" w:rsidRPr="0014173A">
              <w:rPr>
                <w:rFonts w:ascii="Arial" w:hAnsi="Arial" w:cs="Arial"/>
                <w:sz w:val="18"/>
                <w:szCs w:val="18"/>
              </w:rPr>
              <w:t>July 2020</w:t>
            </w:r>
          </w:p>
        </w:tc>
        <w:tc>
          <w:tcPr>
            <w:tcW w:w="745" w:type="pct"/>
          </w:tcPr>
          <w:p w14:paraId="7F95A98C" w14:textId="77777777" w:rsidR="001C3502" w:rsidRPr="0014173A" w:rsidRDefault="001C3502" w:rsidP="0014173A">
            <w:pPr>
              <w:spacing w:before="40" w:after="40"/>
              <w:jc w:val="center"/>
              <w:rPr>
                <w:rFonts w:ascii="Arial" w:hAnsi="Arial" w:cs="Arial"/>
                <w:sz w:val="18"/>
                <w:szCs w:val="18"/>
              </w:rPr>
            </w:pPr>
            <w:r w:rsidRPr="0014173A">
              <w:rPr>
                <w:rFonts w:ascii="Arial" w:hAnsi="Arial" w:cs="Arial"/>
                <w:sz w:val="18"/>
                <w:szCs w:val="18"/>
              </w:rPr>
              <w:t>1 July 2020</w:t>
            </w:r>
          </w:p>
        </w:tc>
      </w:tr>
    </w:tbl>
    <w:p w14:paraId="402737A2" w14:textId="77777777" w:rsidR="00B9773D" w:rsidRPr="00B9773D" w:rsidRDefault="00B9773D" w:rsidP="00773F6C">
      <w:pPr>
        <w:rPr>
          <w:b/>
        </w:rPr>
        <w:sectPr w:rsidR="00B9773D" w:rsidRPr="00B9773D" w:rsidSect="00A54E47">
          <w:footerReference w:type="first" r:id="rId18"/>
          <w:pgSz w:w="11906" w:h="16838" w:code="9"/>
          <w:pgMar w:top="1440" w:right="1440" w:bottom="1440" w:left="1440" w:header="709" w:footer="709" w:gutter="0"/>
          <w:cols w:space="708"/>
          <w:titlePg/>
          <w:docGrid w:linePitch="360"/>
        </w:sectPr>
      </w:pPr>
    </w:p>
    <w:p w14:paraId="3B8E146C" w14:textId="77777777" w:rsidR="007219F1" w:rsidRPr="00087A9D" w:rsidRDefault="007219F1" w:rsidP="00315545">
      <w:pPr>
        <w:pStyle w:val="TOCHeading"/>
      </w:pPr>
      <w:r w:rsidRPr="00087A9D">
        <w:lastRenderedPageBreak/>
        <w:t>Contents</w:t>
      </w:r>
    </w:p>
    <w:p w14:paraId="54B25384" w14:textId="104D8D4E" w:rsidR="006B7C7A" w:rsidRDefault="0040062A">
      <w:pPr>
        <w:pStyle w:val="TOC1"/>
        <w:rPr>
          <w:rFonts w:eastAsiaTheme="minorEastAsia"/>
          <w:b w:val="0"/>
          <w:noProof/>
          <w:lang w:eastAsia="en-AU"/>
        </w:rPr>
      </w:pPr>
      <w:r w:rsidRPr="00775FAB">
        <w:fldChar w:fldCharType="begin"/>
      </w:r>
      <w:r w:rsidR="008D296D" w:rsidRPr="00087A9D">
        <w:instrText xml:space="preserve"> TOC \o "1-3</w:instrText>
      </w:r>
      <w:r w:rsidRPr="00087A9D">
        <w:instrText xml:space="preserve">" \h \z \u </w:instrText>
      </w:r>
      <w:r w:rsidRPr="00775FAB">
        <w:fldChar w:fldCharType="separate"/>
      </w:r>
      <w:hyperlink w:anchor="_Toc46398733" w:history="1">
        <w:r w:rsidR="006B7C7A" w:rsidRPr="001A42A2">
          <w:rPr>
            <w:rStyle w:val="Hyperlink"/>
            <w:noProof/>
          </w:rPr>
          <w:t>Introduction</w:t>
        </w:r>
        <w:r w:rsidR="006B7C7A">
          <w:rPr>
            <w:noProof/>
            <w:webHidden/>
          </w:rPr>
          <w:tab/>
        </w:r>
        <w:r w:rsidR="006B7C7A">
          <w:rPr>
            <w:noProof/>
            <w:webHidden/>
          </w:rPr>
          <w:fldChar w:fldCharType="begin"/>
        </w:r>
        <w:r w:rsidR="006B7C7A">
          <w:rPr>
            <w:noProof/>
            <w:webHidden/>
          </w:rPr>
          <w:instrText xml:space="preserve"> PAGEREF _Toc46398733 \h </w:instrText>
        </w:r>
        <w:r w:rsidR="006B7C7A">
          <w:rPr>
            <w:noProof/>
            <w:webHidden/>
          </w:rPr>
        </w:r>
        <w:r w:rsidR="006B7C7A">
          <w:rPr>
            <w:noProof/>
            <w:webHidden/>
          </w:rPr>
          <w:fldChar w:fldCharType="separate"/>
        </w:r>
        <w:r w:rsidR="003777EA">
          <w:rPr>
            <w:noProof/>
            <w:webHidden/>
          </w:rPr>
          <w:t>5</w:t>
        </w:r>
        <w:r w:rsidR="006B7C7A">
          <w:rPr>
            <w:noProof/>
            <w:webHidden/>
          </w:rPr>
          <w:fldChar w:fldCharType="end"/>
        </w:r>
      </w:hyperlink>
    </w:p>
    <w:p w14:paraId="583AD873" w14:textId="09D9040E" w:rsidR="006B7C7A" w:rsidRDefault="003777EA">
      <w:pPr>
        <w:pStyle w:val="TOC1"/>
        <w:rPr>
          <w:rFonts w:eastAsiaTheme="minorEastAsia"/>
          <w:b w:val="0"/>
          <w:noProof/>
          <w:lang w:eastAsia="en-AU"/>
        </w:rPr>
      </w:pPr>
      <w:hyperlink w:anchor="_Toc46398734" w:history="1">
        <w:r w:rsidR="006B7C7A" w:rsidRPr="001A42A2">
          <w:rPr>
            <w:rStyle w:val="Hyperlink"/>
            <w:noProof/>
          </w:rPr>
          <w:t>Disability Support Worker Cost Model</w:t>
        </w:r>
        <w:r w:rsidR="006B7C7A">
          <w:rPr>
            <w:noProof/>
            <w:webHidden/>
          </w:rPr>
          <w:tab/>
        </w:r>
        <w:r w:rsidR="006B7C7A">
          <w:rPr>
            <w:noProof/>
            <w:webHidden/>
          </w:rPr>
          <w:fldChar w:fldCharType="begin"/>
        </w:r>
        <w:r w:rsidR="006B7C7A">
          <w:rPr>
            <w:noProof/>
            <w:webHidden/>
          </w:rPr>
          <w:instrText xml:space="preserve"> PAGEREF _Toc46398734 \h </w:instrText>
        </w:r>
        <w:r w:rsidR="006B7C7A">
          <w:rPr>
            <w:noProof/>
            <w:webHidden/>
          </w:rPr>
        </w:r>
        <w:r w:rsidR="006B7C7A">
          <w:rPr>
            <w:noProof/>
            <w:webHidden/>
          </w:rPr>
          <w:fldChar w:fldCharType="separate"/>
        </w:r>
        <w:r>
          <w:rPr>
            <w:noProof/>
            <w:webHidden/>
          </w:rPr>
          <w:t>8</w:t>
        </w:r>
        <w:r w:rsidR="006B7C7A">
          <w:rPr>
            <w:noProof/>
            <w:webHidden/>
          </w:rPr>
          <w:fldChar w:fldCharType="end"/>
        </w:r>
      </w:hyperlink>
    </w:p>
    <w:p w14:paraId="648EAA63" w14:textId="1444A1E8" w:rsidR="006B7C7A" w:rsidRDefault="003777EA">
      <w:pPr>
        <w:pStyle w:val="TOC2"/>
        <w:tabs>
          <w:tab w:val="right" w:leader="dot" w:pos="9016"/>
        </w:tabs>
        <w:rPr>
          <w:rFonts w:eastAsiaTheme="minorEastAsia"/>
          <w:noProof/>
          <w:lang w:eastAsia="en-AU"/>
        </w:rPr>
      </w:pPr>
      <w:hyperlink w:anchor="_Toc46398735" w:history="1">
        <w:r w:rsidR="006B7C7A" w:rsidRPr="001A42A2">
          <w:rPr>
            <w:rStyle w:val="Hyperlink"/>
            <w:noProof/>
          </w:rPr>
          <w:t>Applicable Industrial Award</w:t>
        </w:r>
        <w:r w:rsidR="006B7C7A">
          <w:rPr>
            <w:noProof/>
            <w:webHidden/>
          </w:rPr>
          <w:tab/>
        </w:r>
        <w:r w:rsidR="006B7C7A">
          <w:rPr>
            <w:noProof/>
            <w:webHidden/>
          </w:rPr>
          <w:fldChar w:fldCharType="begin"/>
        </w:r>
        <w:r w:rsidR="006B7C7A">
          <w:rPr>
            <w:noProof/>
            <w:webHidden/>
          </w:rPr>
          <w:instrText xml:space="preserve"> PAGEREF _Toc46398735 \h </w:instrText>
        </w:r>
        <w:r w:rsidR="006B7C7A">
          <w:rPr>
            <w:noProof/>
            <w:webHidden/>
          </w:rPr>
        </w:r>
        <w:r w:rsidR="006B7C7A">
          <w:rPr>
            <w:noProof/>
            <w:webHidden/>
          </w:rPr>
          <w:fldChar w:fldCharType="separate"/>
        </w:r>
        <w:r>
          <w:rPr>
            <w:noProof/>
            <w:webHidden/>
          </w:rPr>
          <w:t>8</w:t>
        </w:r>
        <w:r w:rsidR="006B7C7A">
          <w:rPr>
            <w:noProof/>
            <w:webHidden/>
          </w:rPr>
          <w:fldChar w:fldCharType="end"/>
        </w:r>
      </w:hyperlink>
    </w:p>
    <w:p w14:paraId="502B8669" w14:textId="3AEB66FC" w:rsidR="006B7C7A" w:rsidRDefault="003777EA">
      <w:pPr>
        <w:pStyle w:val="TOC2"/>
        <w:tabs>
          <w:tab w:val="right" w:leader="dot" w:pos="9016"/>
        </w:tabs>
        <w:rPr>
          <w:rFonts w:eastAsiaTheme="minorEastAsia"/>
          <w:noProof/>
          <w:lang w:eastAsia="en-AU"/>
        </w:rPr>
      </w:pPr>
      <w:hyperlink w:anchor="_Toc46398736" w:history="1">
        <w:r w:rsidR="006B7C7A" w:rsidRPr="001A42A2">
          <w:rPr>
            <w:rStyle w:val="Hyperlink"/>
            <w:noProof/>
          </w:rPr>
          <w:t>Base Pay</w:t>
        </w:r>
        <w:r w:rsidR="006B7C7A">
          <w:rPr>
            <w:noProof/>
            <w:webHidden/>
          </w:rPr>
          <w:tab/>
        </w:r>
        <w:r w:rsidR="006B7C7A">
          <w:rPr>
            <w:noProof/>
            <w:webHidden/>
          </w:rPr>
          <w:fldChar w:fldCharType="begin"/>
        </w:r>
        <w:r w:rsidR="006B7C7A">
          <w:rPr>
            <w:noProof/>
            <w:webHidden/>
          </w:rPr>
          <w:instrText xml:space="preserve"> PAGEREF _Toc46398736 \h </w:instrText>
        </w:r>
        <w:r w:rsidR="006B7C7A">
          <w:rPr>
            <w:noProof/>
            <w:webHidden/>
          </w:rPr>
        </w:r>
        <w:r w:rsidR="006B7C7A">
          <w:rPr>
            <w:noProof/>
            <w:webHidden/>
          </w:rPr>
          <w:fldChar w:fldCharType="separate"/>
        </w:r>
        <w:r>
          <w:rPr>
            <w:noProof/>
            <w:webHidden/>
          </w:rPr>
          <w:t>8</w:t>
        </w:r>
        <w:r w:rsidR="006B7C7A">
          <w:rPr>
            <w:noProof/>
            <w:webHidden/>
          </w:rPr>
          <w:fldChar w:fldCharType="end"/>
        </w:r>
      </w:hyperlink>
    </w:p>
    <w:p w14:paraId="30D039F2" w14:textId="270D6537" w:rsidR="006B7C7A" w:rsidRDefault="003777EA">
      <w:pPr>
        <w:pStyle w:val="TOC2"/>
        <w:tabs>
          <w:tab w:val="right" w:leader="dot" w:pos="9016"/>
        </w:tabs>
        <w:rPr>
          <w:rFonts w:eastAsiaTheme="minorEastAsia"/>
          <w:noProof/>
          <w:lang w:eastAsia="en-AU"/>
        </w:rPr>
      </w:pPr>
      <w:hyperlink w:anchor="_Toc46398737" w:history="1">
        <w:r w:rsidR="006B7C7A" w:rsidRPr="001A42A2">
          <w:rPr>
            <w:rStyle w:val="Hyperlink"/>
            <w:noProof/>
          </w:rPr>
          <w:t>Shift Loadings</w:t>
        </w:r>
        <w:r w:rsidR="006B7C7A">
          <w:rPr>
            <w:noProof/>
            <w:webHidden/>
          </w:rPr>
          <w:tab/>
        </w:r>
        <w:r w:rsidR="006B7C7A">
          <w:rPr>
            <w:noProof/>
            <w:webHidden/>
          </w:rPr>
          <w:fldChar w:fldCharType="begin"/>
        </w:r>
        <w:r w:rsidR="006B7C7A">
          <w:rPr>
            <w:noProof/>
            <w:webHidden/>
          </w:rPr>
          <w:instrText xml:space="preserve"> PAGEREF _Toc46398737 \h </w:instrText>
        </w:r>
        <w:r w:rsidR="006B7C7A">
          <w:rPr>
            <w:noProof/>
            <w:webHidden/>
          </w:rPr>
        </w:r>
        <w:r w:rsidR="006B7C7A">
          <w:rPr>
            <w:noProof/>
            <w:webHidden/>
          </w:rPr>
          <w:fldChar w:fldCharType="separate"/>
        </w:r>
        <w:r>
          <w:rPr>
            <w:noProof/>
            <w:webHidden/>
          </w:rPr>
          <w:t>9</w:t>
        </w:r>
        <w:r w:rsidR="006B7C7A">
          <w:rPr>
            <w:noProof/>
            <w:webHidden/>
          </w:rPr>
          <w:fldChar w:fldCharType="end"/>
        </w:r>
      </w:hyperlink>
    </w:p>
    <w:p w14:paraId="3F4BBD8C" w14:textId="7A3B3EA2" w:rsidR="006B7C7A" w:rsidRDefault="003777EA">
      <w:pPr>
        <w:pStyle w:val="TOC2"/>
        <w:tabs>
          <w:tab w:val="right" w:leader="dot" w:pos="9016"/>
        </w:tabs>
        <w:rPr>
          <w:rFonts w:eastAsiaTheme="minorEastAsia"/>
          <w:noProof/>
          <w:lang w:eastAsia="en-AU"/>
        </w:rPr>
      </w:pPr>
      <w:hyperlink w:anchor="_Toc46398738" w:history="1">
        <w:r w:rsidR="006B7C7A" w:rsidRPr="001A42A2">
          <w:rPr>
            <w:rStyle w:val="Hyperlink"/>
            <w:noProof/>
          </w:rPr>
          <w:t>Days Worked Versus Days Paid</w:t>
        </w:r>
        <w:r w:rsidR="006B7C7A">
          <w:rPr>
            <w:noProof/>
            <w:webHidden/>
          </w:rPr>
          <w:tab/>
        </w:r>
        <w:r w:rsidR="006B7C7A">
          <w:rPr>
            <w:noProof/>
            <w:webHidden/>
          </w:rPr>
          <w:fldChar w:fldCharType="begin"/>
        </w:r>
        <w:r w:rsidR="006B7C7A">
          <w:rPr>
            <w:noProof/>
            <w:webHidden/>
          </w:rPr>
          <w:instrText xml:space="preserve"> PAGEREF _Toc46398738 \h </w:instrText>
        </w:r>
        <w:r w:rsidR="006B7C7A">
          <w:rPr>
            <w:noProof/>
            <w:webHidden/>
          </w:rPr>
        </w:r>
        <w:r w:rsidR="006B7C7A">
          <w:rPr>
            <w:noProof/>
            <w:webHidden/>
          </w:rPr>
          <w:fldChar w:fldCharType="separate"/>
        </w:r>
        <w:r>
          <w:rPr>
            <w:noProof/>
            <w:webHidden/>
          </w:rPr>
          <w:t>9</w:t>
        </w:r>
        <w:r w:rsidR="006B7C7A">
          <w:rPr>
            <w:noProof/>
            <w:webHidden/>
          </w:rPr>
          <w:fldChar w:fldCharType="end"/>
        </w:r>
      </w:hyperlink>
    </w:p>
    <w:p w14:paraId="57B38C62" w14:textId="74A483E7" w:rsidR="006B7C7A" w:rsidRDefault="003777EA">
      <w:pPr>
        <w:pStyle w:val="TOC2"/>
        <w:tabs>
          <w:tab w:val="right" w:leader="dot" w:pos="9016"/>
        </w:tabs>
        <w:rPr>
          <w:rFonts w:eastAsiaTheme="minorEastAsia"/>
          <w:noProof/>
          <w:lang w:eastAsia="en-AU"/>
        </w:rPr>
      </w:pPr>
      <w:hyperlink w:anchor="_Toc46398739" w:history="1">
        <w:r w:rsidR="006B7C7A" w:rsidRPr="001A42A2">
          <w:rPr>
            <w:rStyle w:val="Hyperlink"/>
            <w:noProof/>
          </w:rPr>
          <w:t>Salary On-costs</w:t>
        </w:r>
        <w:r w:rsidR="006B7C7A">
          <w:rPr>
            <w:noProof/>
            <w:webHidden/>
          </w:rPr>
          <w:tab/>
        </w:r>
        <w:r w:rsidR="006B7C7A">
          <w:rPr>
            <w:noProof/>
            <w:webHidden/>
          </w:rPr>
          <w:fldChar w:fldCharType="begin"/>
        </w:r>
        <w:r w:rsidR="006B7C7A">
          <w:rPr>
            <w:noProof/>
            <w:webHidden/>
          </w:rPr>
          <w:instrText xml:space="preserve"> PAGEREF _Toc46398739 \h </w:instrText>
        </w:r>
        <w:r w:rsidR="006B7C7A">
          <w:rPr>
            <w:noProof/>
            <w:webHidden/>
          </w:rPr>
        </w:r>
        <w:r w:rsidR="006B7C7A">
          <w:rPr>
            <w:noProof/>
            <w:webHidden/>
          </w:rPr>
          <w:fldChar w:fldCharType="separate"/>
        </w:r>
        <w:r>
          <w:rPr>
            <w:noProof/>
            <w:webHidden/>
          </w:rPr>
          <w:t>11</w:t>
        </w:r>
        <w:r w:rsidR="006B7C7A">
          <w:rPr>
            <w:noProof/>
            <w:webHidden/>
          </w:rPr>
          <w:fldChar w:fldCharType="end"/>
        </w:r>
      </w:hyperlink>
    </w:p>
    <w:p w14:paraId="1E1D745B" w14:textId="529CE4A1" w:rsidR="006B7C7A" w:rsidRDefault="003777EA">
      <w:pPr>
        <w:pStyle w:val="TOC2"/>
        <w:tabs>
          <w:tab w:val="right" w:leader="dot" w:pos="9016"/>
        </w:tabs>
        <w:rPr>
          <w:rFonts w:eastAsiaTheme="minorEastAsia"/>
          <w:noProof/>
          <w:lang w:eastAsia="en-AU"/>
        </w:rPr>
      </w:pPr>
      <w:hyperlink w:anchor="_Toc46398740" w:history="1">
        <w:r w:rsidR="006B7C7A" w:rsidRPr="001A42A2">
          <w:rPr>
            <w:rStyle w:val="Hyperlink"/>
            <w:noProof/>
          </w:rPr>
          <w:t>Supervision costs</w:t>
        </w:r>
        <w:r w:rsidR="006B7C7A">
          <w:rPr>
            <w:noProof/>
            <w:webHidden/>
          </w:rPr>
          <w:tab/>
        </w:r>
        <w:r w:rsidR="006B7C7A">
          <w:rPr>
            <w:noProof/>
            <w:webHidden/>
          </w:rPr>
          <w:fldChar w:fldCharType="begin"/>
        </w:r>
        <w:r w:rsidR="006B7C7A">
          <w:rPr>
            <w:noProof/>
            <w:webHidden/>
          </w:rPr>
          <w:instrText xml:space="preserve"> PAGEREF _Toc46398740 \h </w:instrText>
        </w:r>
        <w:r w:rsidR="006B7C7A">
          <w:rPr>
            <w:noProof/>
            <w:webHidden/>
          </w:rPr>
        </w:r>
        <w:r w:rsidR="006B7C7A">
          <w:rPr>
            <w:noProof/>
            <w:webHidden/>
          </w:rPr>
          <w:fldChar w:fldCharType="separate"/>
        </w:r>
        <w:r>
          <w:rPr>
            <w:noProof/>
            <w:webHidden/>
          </w:rPr>
          <w:t>11</w:t>
        </w:r>
        <w:r w:rsidR="006B7C7A">
          <w:rPr>
            <w:noProof/>
            <w:webHidden/>
          </w:rPr>
          <w:fldChar w:fldCharType="end"/>
        </w:r>
      </w:hyperlink>
    </w:p>
    <w:p w14:paraId="6B0577FC" w14:textId="40D6ED52" w:rsidR="006B7C7A" w:rsidRDefault="003777EA">
      <w:pPr>
        <w:pStyle w:val="TOC2"/>
        <w:tabs>
          <w:tab w:val="right" w:leader="dot" w:pos="9016"/>
        </w:tabs>
        <w:rPr>
          <w:rFonts w:eastAsiaTheme="minorEastAsia"/>
          <w:noProof/>
          <w:lang w:eastAsia="en-AU"/>
        </w:rPr>
      </w:pPr>
      <w:hyperlink w:anchor="_Toc46398741" w:history="1">
        <w:r w:rsidR="006B7C7A" w:rsidRPr="001A42A2">
          <w:rPr>
            <w:rStyle w:val="Hyperlink"/>
            <w:noProof/>
          </w:rPr>
          <w:t>Permanent v Casual Workers</w:t>
        </w:r>
        <w:r w:rsidR="006B7C7A">
          <w:rPr>
            <w:noProof/>
            <w:webHidden/>
          </w:rPr>
          <w:tab/>
        </w:r>
        <w:r w:rsidR="006B7C7A">
          <w:rPr>
            <w:noProof/>
            <w:webHidden/>
          </w:rPr>
          <w:fldChar w:fldCharType="begin"/>
        </w:r>
        <w:r w:rsidR="006B7C7A">
          <w:rPr>
            <w:noProof/>
            <w:webHidden/>
          </w:rPr>
          <w:instrText xml:space="preserve"> PAGEREF _Toc46398741 \h </w:instrText>
        </w:r>
        <w:r w:rsidR="006B7C7A">
          <w:rPr>
            <w:noProof/>
            <w:webHidden/>
          </w:rPr>
        </w:r>
        <w:r w:rsidR="006B7C7A">
          <w:rPr>
            <w:noProof/>
            <w:webHidden/>
          </w:rPr>
          <w:fldChar w:fldCharType="separate"/>
        </w:r>
        <w:r>
          <w:rPr>
            <w:noProof/>
            <w:webHidden/>
          </w:rPr>
          <w:t>12</w:t>
        </w:r>
        <w:r w:rsidR="006B7C7A">
          <w:rPr>
            <w:noProof/>
            <w:webHidden/>
          </w:rPr>
          <w:fldChar w:fldCharType="end"/>
        </w:r>
      </w:hyperlink>
    </w:p>
    <w:p w14:paraId="4BD8EFD7" w14:textId="14A53B85" w:rsidR="006B7C7A" w:rsidRDefault="003777EA">
      <w:pPr>
        <w:pStyle w:val="TOC2"/>
        <w:tabs>
          <w:tab w:val="right" w:leader="dot" w:pos="9016"/>
        </w:tabs>
        <w:rPr>
          <w:rFonts w:eastAsiaTheme="minorEastAsia"/>
          <w:noProof/>
          <w:lang w:eastAsia="en-AU"/>
        </w:rPr>
      </w:pPr>
      <w:hyperlink w:anchor="_Toc46398742" w:history="1">
        <w:r w:rsidR="006B7C7A" w:rsidRPr="001A42A2">
          <w:rPr>
            <w:rStyle w:val="Hyperlink"/>
            <w:noProof/>
          </w:rPr>
          <w:t>Utilisation</w:t>
        </w:r>
        <w:r w:rsidR="006B7C7A">
          <w:rPr>
            <w:noProof/>
            <w:webHidden/>
          </w:rPr>
          <w:tab/>
        </w:r>
        <w:r w:rsidR="006B7C7A">
          <w:rPr>
            <w:noProof/>
            <w:webHidden/>
          </w:rPr>
          <w:fldChar w:fldCharType="begin"/>
        </w:r>
        <w:r w:rsidR="006B7C7A">
          <w:rPr>
            <w:noProof/>
            <w:webHidden/>
          </w:rPr>
          <w:instrText xml:space="preserve"> PAGEREF _Toc46398742 \h </w:instrText>
        </w:r>
        <w:r w:rsidR="006B7C7A">
          <w:rPr>
            <w:noProof/>
            <w:webHidden/>
          </w:rPr>
        </w:r>
        <w:r w:rsidR="006B7C7A">
          <w:rPr>
            <w:noProof/>
            <w:webHidden/>
          </w:rPr>
          <w:fldChar w:fldCharType="separate"/>
        </w:r>
        <w:r>
          <w:rPr>
            <w:noProof/>
            <w:webHidden/>
          </w:rPr>
          <w:t>12</w:t>
        </w:r>
        <w:r w:rsidR="006B7C7A">
          <w:rPr>
            <w:noProof/>
            <w:webHidden/>
          </w:rPr>
          <w:fldChar w:fldCharType="end"/>
        </w:r>
      </w:hyperlink>
    </w:p>
    <w:p w14:paraId="5C75D728" w14:textId="075B14B8" w:rsidR="006B7C7A" w:rsidRDefault="003777EA">
      <w:pPr>
        <w:pStyle w:val="TOC2"/>
        <w:tabs>
          <w:tab w:val="right" w:leader="dot" w:pos="9016"/>
        </w:tabs>
        <w:rPr>
          <w:rFonts w:eastAsiaTheme="minorEastAsia"/>
          <w:noProof/>
          <w:lang w:eastAsia="en-AU"/>
        </w:rPr>
      </w:pPr>
      <w:hyperlink w:anchor="_Toc46398743" w:history="1">
        <w:r w:rsidR="006B7C7A" w:rsidRPr="001A42A2">
          <w:rPr>
            <w:rStyle w:val="Hyperlink"/>
            <w:noProof/>
          </w:rPr>
          <w:t>Overheads</w:t>
        </w:r>
        <w:r w:rsidR="006B7C7A">
          <w:rPr>
            <w:noProof/>
            <w:webHidden/>
          </w:rPr>
          <w:tab/>
        </w:r>
        <w:r w:rsidR="006B7C7A">
          <w:rPr>
            <w:noProof/>
            <w:webHidden/>
          </w:rPr>
          <w:fldChar w:fldCharType="begin"/>
        </w:r>
        <w:r w:rsidR="006B7C7A">
          <w:rPr>
            <w:noProof/>
            <w:webHidden/>
          </w:rPr>
          <w:instrText xml:space="preserve"> PAGEREF _Toc46398743 \h </w:instrText>
        </w:r>
        <w:r w:rsidR="006B7C7A">
          <w:rPr>
            <w:noProof/>
            <w:webHidden/>
          </w:rPr>
        </w:r>
        <w:r w:rsidR="006B7C7A">
          <w:rPr>
            <w:noProof/>
            <w:webHidden/>
          </w:rPr>
          <w:fldChar w:fldCharType="separate"/>
        </w:r>
        <w:r>
          <w:rPr>
            <w:noProof/>
            <w:webHidden/>
          </w:rPr>
          <w:t>13</w:t>
        </w:r>
        <w:r w:rsidR="006B7C7A">
          <w:rPr>
            <w:noProof/>
            <w:webHidden/>
          </w:rPr>
          <w:fldChar w:fldCharType="end"/>
        </w:r>
      </w:hyperlink>
    </w:p>
    <w:p w14:paraId="2FCC0162" w14:textId="6619FE4B" w:rsidR="006B7C7A" w:rsidRDefault="003777EA">
      <w:pPr>
        <w:pStyle w:val="TOC2"/>
        <w:tabs>
          <w:tab w:val="right" w:leader="dot" w:pos="9016"/>
        </w:tabs>
        <w:rPr>
          <w:rFonts w:eastAsiaTheme="minorEastAsia"/>
          <w:noProof/>
          <w:lang w:eastAsia="en-AU"/>
        </w:rPr>
      </w:pPr>
      <w:hyperlink w:anchor="_Toc46398744" w:history="1">
        <w:r w:rsidR="006B7C7A" w:rsidRPr="001A42A2">
          <w:rPr>
            <w:rStyle w:val="Hyperlink"/>
            <w:noProof/>
          </w:rPr>
          <w:t>Margins</w:t>
        </w:r>
        <w:r w:rsidR="006B7C7A">
          <w:rPr>
            <w:noProof/>
            <w:webHidden/>
          </w:rPr>
          <w:tab/>
        </w:r>
        <w:r w:rsidR="006B7C7A">
          <w:rPr>
            <w:noProof/>
            <w:webHidden/>
          </w:rPr>
          <w:fldChar w:fldCharType="begin"/>
        </w:r>
        <w:r w:rsidR="006B7C7A">
          <w:rPr>
            <w:noProof/>
            <w:webHidden/>
          </w:rPr>
          <w:instrText xml:space="preserve"> PAGEREF _Toc46398744 \h </w:instrText>
        </w:r>
        <w:r w:rsidR="006B7C7A">
          <w:rPr>
            <w:noProof/>
            <w:webHidden/>
          </w:rPr>
        </w:r>
        <w:r w:rsidR="006B7C7A">
          <w:rPr>
            <w:noProof/>
            <w:webHidden/>
          </w:rPr>
          <w:fldChar w:fldCharType="separate"/>
        </w:r>
        <w:r>
          <w:rPr>
            <w:noProof/>
            <w:webHidden/>
          </w:rPr>
          <w:t>14</w:t>
        </w:r>
        <w:r w:rsidR="006B7C7A">
          <w:rPr>
            <w:noProof/>
            <w:webHidden/>
          </w:rPr>
          <w:fldChar w:fldCharType="end"/>
        </w:r>
      </w:hyperlink>
    </w:p>
    <w:p w14:paraId="405DDD00" w14:textId="63BB8011" w:rsidR="006B7C7A" w:rsidRDefault="003777EA">
      <w:pPr>
        <w:pStyle w:val="TOC1"/>
        <w:rPr>
          <w:rFonts w:eastAsiaTheme="minorEastAsia"/>
          <w:b w:val="0"/>
          <w:noProof/>
          <w:lang w:eastAsia="en-AU"/>
        </w:rPr>
      </w:pPr>
      <w:hyperlink w:anchor="_Toc46398745" w:history="1">
        <w:r w:rsidR="006B7C7A" w:rsidRPr="001A42A2">
          <w:rPr>
            <w:rStyle w:val="Hyperlink"/>
            <w:noProof/>
          </w:rPr>
          <w:t>Price Limits Determined by the Cost Model</w:t>
        </w:r>
        <w:r w:rsidR="006B7C7A">
          <w:rPr>
            <w:noProof/>
            <w:webHidden/>
          </w:rPr>
          <w:tab/>
        </w:r>
        <w:r w:rsidR="006B7C7A">
          <w:rPr>
            <w:noProof/>
            <w:webHidden/>
          </w:rPr>
          <w:fldChar w:fldCharType="begin"/>
        </w:r>
        <w:r w:rsidR="006B7C7A">
          <w:rPr>
            <w:noProof/>
            <w:webHidden/>
          </w:rPr>
          <w:instrText xml:space="preserve"> PAGEREF _Toc46398745 \h </w:instrText>
        </w:r>
        <w:r w:rsidR="006B7C7A">
          <w:rPr>
            <w:noProof/>
            <w:webHidden/>
          </w:rPr>
        </w:r>
        <w:r w:rsidR="006B7C7A">
          <w:rPr>
            <w:noProof/>
            <w:webHidden/>
          </w:rPr>
          <w:fldChar w:fldCharType="separate"/>
        </w:r>
        <w:r>
          <w:rPr>
            <w:noProof/>
            <w:webHidden/>
          </w:rPr>
          <w:t>15</w:t>
        </w:r>
        <w:r w:rsidR="006B7C7A">
          <w:rPr>
            <w:noProof/>
            <w:webHidden/>
          </w:rPr>
          <w:fldChar w:fldCharType="end"/>
        </w:r>
      </w:hyperlink>
    </w:p>
    <w:p w14:paraId="6BF41F04" w14:textId="776F375E" w:rsidR="006B7C7A" w:rsidRDefault="003777EA">
      <w:pPr>
        <w:pStyle w:val="TOC2"/>
        <w:tabs>
          <w:tab w:val="right" w:leader="dot" w:pos="9016"/>
        </w:tabs>
        <w:rPr>
          <w:rFonts w:eastAsiaTheme="minorEastAsia"/>
          <w:noProof/>
          <w:lang w:eastAsia="en-AU"/>
        </w:rPr>
      </w:pPr>
      <w:hyperlink w:anchor="_Toc46398746" w:history="1">
        <w:r w:rsidR="006B7C7A" w:rsidRPr="001A42A2">
          <w:rPr>
            <w:rStyle w:val="Hyperlink"/>
            <w:noProof/>
          </w:rPr>
          <w:t>Notes</w:t>
        </w:r>
        <w:r w:rsidR="006B7C7A">
          <w:rPr>
            <w:noProof/>
            <w:webHidden/>
          </w:rPr>
          <w:tab/>
        </w:r>
        <w:r w:rsidR="006B7C7A">
          <w:rPr>
            <w:noProof/>
            <w:webHidden/>
          </w:rPr>
          <w:fldChar w:fldCharType="begin"/>
        </w:r>
        <w:r w:rsidR="006B7C7A">
          <w:rPr>
            <w:noProof/>
            <w:webHidden/>
          </w:rPr>
          <w:instrText xml:space="preserve"> PAGEREF _Toc46398746 \h </w:instrText>
        </w:r>
        <w:r w:rsidR="006B7C7A">
          <w:rPr>
            <w:noProof/>
            <w:webHidden/>
          </w:rPr>
        </w:r>
        <w:r w:rsidR="006B7C7A">
          <w:rPr>
            <w:noProof/>
            <w:webHidden/>
          </w:rPr>
          <w:fldChar w:fldCharType="separate"/>
        </w:r>
        <w:r>
          <w:rPr>
            <w:noProof/>
            <w:webHidden/>
          </w:rPr>
          <w:t>29</w:t>
        </w:r>
        <w:r w:rsidR="006B7C7A">
          <w:rPr>
            <w:noProof/>
            <w:webHidden/>
          </w:rPr>
          <w:fldChar w:fldCharType="end"/>
        </w:r>
      </w:hyperlink>
    </w:p>
    <w:p w14:paraId="0F56CA60" w14:textId="63DA9EC0" w:rsidR="006B7C7A" w:rsidRDefault="003777EA">
      <w:pPr>
        <w:pStyle w:val="TOC3"/>
        <w:rPr>
          <w:rFonts w:eastAsiaTheme="minorEastAsia"/>
          <w:noProof/>
          <w:lang w:eastAsia="en-AU"/>
        </w:rPr>
      </w:pPr>
      <w:hyperlink w:anchor="_Toc46398747" w:history="1">
        <w:r w:rsidR="006B7C7A" w:rsidRPr="001A42A2">
          <w:rPr>
            <w:rStyle w:val="Hyperlink"/>
            <w:noProof/>
          </w:rPr>
          <w:t>1.</w:t>
        </w:r>
        <w:r w:rsidR="006B7C7A">
          <w:rPr>
            <w:rFonts w:eastAsiaTheme="minorEastAsia"/>
            <w:noProof/>
            <w:lang w:eastAsia="en-AU"/>
          </w:rPr>
          <w:tab/>
        </w:r>
        <w:r w:rsidR="006B7C7A" w:rsidRPr="001A42A2">
          <w:rPr>
            <w:rStyle w:val="Hyperlink"/>
            <w:noProof/>
          </w:rPr>
          <w:t>Temporary Transformation Payment (TTP)</w:t>
        </w:r>
        <w:r w:rsidR="006B7C7A">
          <w:rPr>
            <w:noProof/>
            <w:webHidden/>
          </w:rPr>
          <w:tab/>
        </w:r>
        <w:r w:rsidR="006B7C7A">
          <w:rPr>
            <w:noProof/>
            <w:webHidden/>
          </w:rPr>
          <w:fldChar w:fldCharType="begin"/>
        </w:r>
        <w:r w:rsidR="006B7C7A">
          <w:rPr>
            <w:noProof/>
            <w:webHidden/>
          </w:rPr>
          <w:instrText xml:space="preserve"> PAGEREF _Toc46398747 \h </w:instrText>
        </w:r>
        <w:r w:rsidR="006B7C7A">
          <w:rPr>
            <w:noProof/>
            <w:webHidden/>
          </w:rPr>
        </w:r>
        <w:r w:rsidR="006B7C7A">
          <w:rPr>
            <w:noProof/>
            <w:webHidden/>
          </w:rPr>
          <w:fldChar w:fldCharType="separate"/>
        </w:r>
        <w:r>
          <w:rPr>
            <w:noProof/>
            <w:webHidden/>
          </w:rPr>
          <w:t>29</w:t>
        </w:r>
        <w:r w:rsidR="006B7C7A">
          <w:rPr>
            <w:noProof/>
            <w:webHidden/>
          </w:rPr>
          <w:fldChar w:fldCharType="end"/>
        </w:r>
      </w:hyperlink>
    </w:p>
    <w:p w14:paraId="0F9E8A56" w14:textId="565EEC88" w:rsidR="006B7C7A" w:rsidRDefault="003777EA">
      <w:pPr>
        <w:pStyle w:val="TOC3"/>
        <w:rPr>
          <w:rFonts w:eastAsiaTheme="minorEastAsia"/>
          <w:noProof/>
          <w:lang w:eastAsia="en-AU"/>
        </w:rPr>
      </w:pPr>
      <w:hyperlink w:anchor="_Toc46398748" w:history="1">
        <w:r w:rsidR="006B7C7A" w:rsidRPr="001A42A2">
          <w:rPr>
            <w:rStyle w:val="Hyperlink"/>
            <w:noProof/>
          </w:rPr>
          <w:t>2.</w:t>
        </w:r>
        <w:r w:rsidR="006B7C7A">
          <w:rPr>
            <w:rFonts w:eastAsiaTheme="minorEastAsia"/>
            <w:noProof/>
            <w:lang w:eastAsia="en-AU"/>
          </w:rPr>
          <w:tab/>
        </w:r>
        <w:r w:rsidR="006B7C7A" w:rsidRPr="001A42A2">
          <w:rPr>
            <w:rStyle w:val="Hyperlink"/>
            <w:noProof/>
          </w:rPr>
          <w:t>Assistance with Self Care Activities - Night-Time Sleepover Support</w:t>
        </w:r>
        <w:r w:rsidR="006B7C7A">
          <w:rPr>
            <w:noProof/>
            <w:webHidden/>
          </w:rPr>
          <w:tab/>
        </w:r>
        <w:r w:rsidR="006B7C7A">
          <w:rPr>
            <w:noProof/>
            <w:webHidden/>
          </w:rPr>
          <w:fldChar w:fldCharType="begin"/>
        </w:r>
        <w:r w:rsidR="006B7C7A">
          <w:rPr>
            <w:noProof/>
            <w:webHidden/>
          </w:rPr>
          <w:instrText xml:space="preserve"> PAGEREF _Toc46398748 \h </w:instrText>
        </w:r>
        <w:r w:rsidR="006B7C7A">
          <w:rPr>
            <w:noProof/>
            <w:webHidden/>
          </w:rPr>
        </w:r>
        <w:r w:rsidR="006B7C7A">
          <w:rPr>
            <w:noProof/>
            <w:webHidden/>
          </w:rPr>
          <w:fldChar w:fldCharType="separate"/>
        </w:r>
        <w:r>
          <w:rPr>
            <w:noProof/>
            <w:webHidden/>
          </w:rPr>
          <w:t>29</w:t>
        </w:r>
        <w:r w:rsidR="006B7C7A">
          <w:rPr>
            <w:noProof/>
            <w:webHidden/>
          </w:rPr>
          <w:fldChar w:fldCharType="end"/>
        </w:r>
      </w:hyperlink>
    </w:p>
    <w:p w14:paraId="502DC754" w14:textId="61EC8CAC" w:rsidR="006B7C7A" w:rsidRDefault="003777EA">
      <w:pPr>
        <w:pStyle w:val="TOC3"/>
        <w:rPr>
          <w:rFonts w:eastAsiaTheme="minorEastAsia"/>
          <w:noProof/>
          <w:lang w:eastAsia="en-AU"/>
        </w:rPr>
      </w:pPr>
      <w:hyperlink w:anchor="_Toc46398749" w:history="1">
        <w:r w:rsidR="006B7C7A" w:rsidRPr="001A42A2">
          <w:rPr>
            <w:rStyle w:val="Hyperlink"/>
            <w:noProof/>
          </w:rPr>
          <w:t>3.</w:t>
        </w:r>
        <w:r w:rsidR="006B7C7A">
          <w:rPr>
            <w:rFonts w:eastAsiaTheme="minorEastAsia"/>
            <w:noProof/>
            <w:lang w:eastAsia="en-AU"/>
          </w:rPr>
          <w:tab/>
        </w:r>
        <w:r w:rsidR="006B7C7A" w:rsidRPr="001A42A2">
          <w:rPr>
            <w:rStyle w:val="Hyperlink"/>
            <w:noProof/>
          </w:rPr>
          <w:t>Establishment Fee for Personal Care/Participation</w:t>
        </w:r>
        <w:r w:rsidR="006B7C7A">
          <w:rPr>
            <w:noProof/>
            <w:webHidden/>
          </w:rPr>
          <w:tab/>
        </w:r>
        <w:r w:rsidR="006B7C7A">
          <w:rPr>
            <w:noProof/>
            <w:webHidden/>
          </w:rPr>
          <w:fldChar w:fldCharType="begin"/>
        </w:r>
        <w:r w:rsidR="006B7C7A">
          <w:rPr>
            <w:noProof/>
            <w:webHidden/>
          </w:rPr>
          <w:instrText xml:space="preserve"> PAGEREF _Toc46398749 \h </w:instrText>
        </w:r>
        <w:r w:rsidR="006B7C7A">
          <w:rPr>
            <w:noProof/>
            <w:webHidden/>
          </w:rPr>
        </w:r>
        <w:r w:rsidR="006B7C7A">
          <w:rPr>
            <w:noProof/>
            <w:webHidden/>
          </w:rPr>
          <w:fldChar w:fldCharType="separate"/>
        </w:r>
        <w:r>
          <w:rPr>
            <w:noProof/>
            <w:webHidden/>
          </w:rPr>
          <w:t>29</w:t>
        </w:r>
        <w:r w:rsidR="006B7C7A">
          <w:rPr>
            <w:noProof/>
            <w:webHidden/>
          </w:rPr>
          <w:fldChar w:fldCharType="end"/>
        </w:r>
      </w:hyperlink>
    </w:p>
    <w:p w14:paraId="0744C34D" w14:textId="302AB47A" w:rsidR="006B7C7A" w:rsidRDefault="003777EA">
      <w:pPr>
        <w:pStyle w:val="TOC3"/>
        <w:rPr>
          <w:rFonts w:eastAsiaTheme="minorEastAsia"/>
          <w:noProof/>
          <w:lang w:eastAsia="en-AU"/>
        </w:rPr>
      </w:pPr>
      <w:hyperlink w:anchor="_Toc46398750" w:history="1">
        <w:r w:rsidR="006B7C7A" w:rsidRPr="001A42A2">
          <w:rPr>
            <w:rStyle w:val="Hyperlink"/>
            <w:noProof/>
          </w:rPr>
          <w:t>4.</w:t>
        </w:r>
        <w:r w:rsidR="006B7C7A">
          <w:rPr>
            <w:rFonts w:eastAsiaTheme="minorEastAsia"/>
            <w:noProof/>
            <w:lang w:eastAsia="en-AU"/>
          </w:rPr>
          <w:tab/>
        </w:r>
        <w:r w:rsidR="006B7C7A" w:rsidRPr="001A42A2">
          <w:rPr>
            <w:rStyle w:val="Hyperlink"/>
            <w:noProof/>
          </w:rPr>
          <w:t>Short Term Accommodation and Assistance (including the respite care)</w:t>
        </w:r>
        <w:r w:rsidR="006B7C7A">
          <w:rPr>
            <w:noProof/>
            <w:webHidden/>
          </w:rPr>
          <w:tab/>
        </w:r>
        <w:r w:rsidR="006B7C7A">
          <w:rPr>
            <w:noProof/>
            <w:webHidden/>
          </w:rPr>
          <w:fldChar w:fldCharType="begin"/>
        </w:r>
        <w:r w:rsidR="006B7C7A">
          <w:rPr>
            <w:noProof/>
            <w:webHidden/>
          </w:rPr>
          <w:instrText xml:space="preserve"> PAGEREF _Toc46398750 \h </w:instrText>
        </w:r>
        <w:r w:rsidR="006B7C7A">
          <w:rPr>
            <w:noProof/>
            <w:webHidden/>
          </w:rPr>
        </w:r>
        <w:r w:rsidR="006B7C7A">
          <w:rPr>
            <w:noProof/>
            <w:webHidden/>
          </w:rPr>
          <w:fldChar w:fldCharType="separate"/>
        </w:r>
        <w:r>
          <w:rPr>
            <w:noProof/>
            <w:webHidden/>
          </w:rPr>
          <w:t>29</w:t>
        </w:r>
        <w:r w:rsidR="006B7C7A">
          <w:rPr>
            <w:noProof/>
            <w:webHidden/>
          </w:rPr>
          <w:fldChar w:fldCharType="end"/>
        </w:r>
      </w:hyperlink>
    </w:p>
    <w:p w14:paraId="74051605" w14:textId="3877E8F7" w:rsidR="006B7C7A" w:rsidRDefault="003777EA">
      <w:pPr>
        <w:pStyle w:val="TOC3"/>
        <w:rPr>
          <w:rFonts w:eastAsiaTheme="minorEastAsia"/>
          <w:noProof/>
          <w:lang w:eastAsia="en-AU"/>
        </w:rPr>
      </w:pPr>
      <w:hyperlink w:anchor="_Toc46398751" w:history="1">
        <w:r w:rsidR="006B7C7A" w:rsidRPr="001A42A2">
          <w:rPr>
            <w:rStyle w:val="Hyperlink"/>
            <w:noProof/>
          </w:rPr>
          <w:t>5.</w:t>
        </w:r>
        <w:r w:rsidR="006B7C7A">
          <w:rPr>
            <w:rFonts w:eastAsiaTheme="minorEastAsia"/>
            <w:noProof/>
            <w:lang w:eastAsia="en-AU"/>
          </w:rPr>
          <w:tab/>
        </w:r>
        <w:r w:rsidR="006B7C7A" w:rsidRPr="001A42A2">
          <w:rPr>
            <w:rStyle w:val="Hyperlink"/>
            <w:noProof/>
          </w:rPr>
          <w:t>Group Activities (Transitional Arrangement)</w:t>
        </w:r>
        <w:r w:rsidR="006B7C7A">
          <w:rPr>
            <w:noProof/>
            <w:webHidden/>
          </w:rPr>
          <w:tab/>
        </w:r>
        <w:r w:rsidR="006B7C7A">
          <w:rPr>
            <w:noProof/>
            <w:webHidden/>
          </w:rPr>
          <w:fldChar w:fldCharType="begin"/>
        </w:r>
        <w:r w:rsidR="006B7C7A">
          <w:rPr>
            <w:noProof/>
            <w:webHidden/>
          </w:rPr>
          <w:instrText xml:space="preserve"> PAGEREF _Toc46398751 \h </w:instrText>
        </w:r>
        <w:r w:rsidR="006B7C7A">
          <w:rPr>
            <w:noProof/>
            <w:webHidden/>
          </w:rPr>
        </w:r>
        <w:r w:rsidR="006B7C7A">
          <w:rPr>
            <w:noProof/>
            <w:webHidden/>
          </w:rPr>
          <w:fldChar w:fldCharType="separate"/>
        </w:r>
        <w:r>
          <w:rPr>
            <w:noProof/>
            <w:webHidden/>
          </w:rPr>
          <w:t>29</w:t>
        </w:r>
        <w:r w:rsidR="006B7C7A">
          <w:rPr>
            <w:noProof/>
            <w:webHidden/>
          </w:rPr>
          <w:fldChar w:fldCharType="end"/>
        </w:r>
      </w:hyperlink>
    </w:p>
    <w:p w14:paraId="022AAEBD" w14:textId="556A3B82" w:rsidR="006B7C7A" w:rsidRDefault="003777EA">
      <w:pPr>
        <w:pStyle w:val="TOC1"/>
        <w:rPr>
          <w:rFonts w:eastAsiaTheme="minorEastAsia"/>
          <w:b w:val="0"/>
          <w:noProof/>
          <w:lang w:eastAsia="en-AU"/>
        </w:rPr>
      </w:pPr>
      <w:hyperlink w:anchor="_Toc46398752" w:history="1">
        <w:r w:rsidR="006B7C7A" w:rsidRPr="001A42A2">
          <w:rPr>
            <w:rStyle w:val="Hyperlink"/>
            <w:noProof/>
          </w:rPr>
          <w:t>Appendix 1 – Footnotes</w:t>
        </w:r>
        <w:r w:rsidR="006B7C7A">
          <w:rPr>
            <w:noProof/>
            <w:webHidden/>
          </w:rPr>
          <w:tab/>
        </w:r>
        <w:r w:rsidR="006B7C7A">
          <w:rPr>
            <w:noProof/>
            <w:webHidden/>
          </w:rPr>
          <w:fldChar w:fldCharType="begin"/>
        </w:r>
        <w:r w:rsidR="006B7C7A">
          <w:rPr>
            <w:noProof/>
            <w:webHidden/>
          </w:rPr>
          <w:instrText xml:space="preserve"> PAGEREF _Toc46398752 \h </w:instrText>
        </w:r>
        <w:r w:rsidR="006B7C7A">
          <w:rPr>
            <w:noProof/>
            <w:webHidden/>
          </w:rPr>
        </w:r>
        <w:r w:rsidR="006B7C7A">
          <w:rPr>
            <w:noProof/>
            <w:webHidden/>
          </w:rPr>
          <w:fldChar w:fldCharType="separate"/>
        </w:r>
        <w:r>
          <w:rPr>
            <w:noProof/>
            <w:webHidden/>
          </w:rPr>
          <w:t>31</w:t>
        </w:r>
        <w:r w:rsidR="006B7C7A">
          <w:rPr>
            <w:noProof/>
            <w:webHidden/>
          </w:rPr>
          <w:fldChar w:fldCharType="end"/>
        </w:r>
      </w:hyperlink>
    </w:p>
    <w:p w14:paraId="3A7E31F2" w14:textId="77777777" w:rsidR="00EE5246" w:rsidRPr="00087A9D" w:rsidRDefault="0040062A" w:rsidP="001A3E36">
      <w:r w:rsidRPr="00775FAB">
        <w:fldChar w:fldCharType="end"/>
      </w:r>
    </w:p>
    <w:p w14:paraId="164EEDFB" w14:textId="77777777" w:rsidR="00CD7CF3" w:rsidRDefault="00CD7CF3" w:rsidP="00315545">
      <w:pPr>
        <w:pStyle w:val="Heading1"/>
        <w:sectPr w:rsidR="00CD7CF3" w:rsidSect="00A54E47">
          <w:pgSz w:w="11906" w:h="16838" w:code="9"/>
          <w:pgMar w:top="1440" w:right="1440" w:bottom="1440" w:left="1440" w:header="709" w:footer="709" w:gutter="0"/>
          <w:cols w:space="708"/>
          <w:titlePg/>
          <w:docGrid w:linePitch="360"/>
        </w:sectPr>
      </w:pPr>
      <w:bookmarkStart w:id="0" w:name="_Toc2341423"/>
    </w:p>
    <w:p w14:paraId="6D0C713A" w14:textId="77777777" w:rsidR="004D32B5" w:rsidRPr="00087A9D" w:rsidRDefault="003F4435" w:rsidP="00315545">
      <w:pPr>
        <w:pStyle w:val="Heading1"/>
      </w:pPr>
      <w:bookmarkStart w:id="1" w:name="_Toc46398733"/>
      <w:r w:rsidRPr="00087A9D">
        <w:t>Introduction</w:t>
      </w:r>
      <w:bookmarkEnd w:id="0"/>
      <w:bookmarkEnd w:id="1"/>
    </w:p>
    <w:p w14:paraId="11609D02" w14:textId="77777777" w:rsidR="00AC5E2D" w:rsidRDefault="00AC5E2D" w:rsidP="00AC5E2D">
      <w:r w:rsidRPr="00087A9D">
        <w:t>The purpose of this document is to set out the</w:t>
      </w:r>
      <w:r>
        <w:t xml:space="preserve"> methodology and assumptions of the Cost Model that the NDIA uses to inform its pricing decisions for supports that are delivered by Disability Support Workers (DSWs). The methodology used to inform the NDIA’s pricing decisions for supports that are delivered by therapists are set out in the </w:t>
      </w:r>
      <w:r w:rsidRPr="00CD7CF3">
        <w:rPr>
          <w:i/>
        </w:rPr>
        <w:t>Review of Therapy Pricing Arrangements</w:t>
      </w:r>
      <w:r>
        <w:t>.</w:t>
      </w:r>
      <w:r>
        <w:rPr>
          <w:rStyle w:val="FootnoteReference"/>
        </w:rPr>
        <w:footnoteReference w:id="2"/>
      </w:r>
    </w:p>
    <w:p w14:paraId="42740E99" w14:textId="77777777" w:rsidR="007836CD" w:rsidRPr="00087A9D" w:rsidRDefault="007836CD" w:rsidP="007836CD">
      <w:r w:rsidRPr="00087A9D">
        <w:t>One of the principal object</w:t>
      </w:r>
      <w:r w:rsidR="007D5116">
        <w:t>ives</w:t>
      </w:r>
      <w:r w:rsidRPr="00087A9D">
        <w:t xml:space="preserve"> of the </w:t>
      </w:r>
      <w:r w:rsidR="00CD7CF3">
        <w:t>National Disability Insurance Scheme (</w:t>
      </w:r>
      <w:r w:rsidRPr="00087A9D">
        <w:t>NDIS</w:t>
      </w:r>
      <w:r w:rsidR="00CD7CF3">
        <w:t>)</w:t>
      </w:r>
      <w:r w:rsidRPr="00087A9D">
        <w:t xml:space="preserve"> is </w:t>
      </w:r>
      <w:r w:rsidR="007D5116">
        <w:t>for</w:t>
      </w:r>
      <w:r w:rsidR="007D5116" w:rsidRPr="00087A9D">
        <w:t xml:space="preserve"> </w:t>
      </w:r>
      <w:r w:rsidR="00FB0CD9" w:rsidRPr="00087A9D">
        <w:t xml:space="preserve">people with </w:t>
      </w:r>
      <w:r w:rsidR="007D5116" w:rsidRPr="00087A9D">
        <w:t>disabilit</w:t>
      </w:r>
      <w:r w:rsidR="007D5116">
        <w:t>y</w:t>
      </w:r>
      <w:r w:rsidR="007D5116" w:rsidRPr="00087A9D">
        <w:t xml:space="preserve"> </w:t>
      </w:r>
      <w:r w:rsidR="007D5116">
        <w:t>to exercise</w:t>
      </w:r>
      <w:r w:rsidRPr="00087A9D">
        <w:t xml:space="preserve"> choice and control over how, and with which providers, they spend their available budgets. The role of </w:t>
      </w:r>
      <w:r w:rsidR="007D5116" w:rsidRPr="00087A9D">
        <w:t>pric</w:t>
      </w:r>
      <w:r w:rsidR="007D5116">
        <w:t>ing</w:t>
      </w:r>
      <w:r w:rsidR="007D5116" w:rsidRPr="00087A9D">
        <w:t xml:space="preserve"> </w:t>
      </w:r>
      <w:r w:rsidRPr="00087A9D">
        <w:t xml:space="preserve">in the NDIS is therefore very </w:t>
      </w:r>
      <w:r w:rsidR="007D5116">
        <w:t>important</w:t>
      </w:r>
      <w:r w:rsidRPr="00087A9D">
        <w:t xml:space="preserve">. Prices, or more precisely participants’ choices in response to </w:t>
      </w:r>
      <w:r w:rsidR="00B207E8" w:rsidRPr="00087A9D">
        <w:t xml:space="preserve">the </w:t>
      </w:r>
      <w:r w:rsidRPr="00087A9D">
        <w:t>prices</w:t>
      </w:r>
      <w:r w:rsidR="00B207E8" w:rsidRPr="00087A9D">
        <w:t xml:space="preserve"> they face in the market</w:t>
      </w:r>
      <w:r w:rsidRPr="00087A9D">
        <w:t>, reflect the preferences and relative value</w:t>
      </w:r>
      <w:r w:rsidR="00B207E8" w:rsidRPr="00087A9D">
        <w:t>s</w:t>
      </w:r>
      <w:r w:rsidRPr="00087A9D">
        <w:t xml:space="preserve"> that different participants place on different types of supports. The aggregation of these individual responses in turn signals to </w:t>
      </w:r>
      <w:r w:rsidR="00EA1761">
        <w:t>providers</w:t>
      </w:r>
      <w:r w:rsidR="00EA1761" w:rsidRPr="00087A9D">
        <w:t xml:space="preserve"> </w:t>
      </w:r>
      <w:r w:rsidRPr="00087A9D">
        <w:t>the quantity and mix of supports to supply. Prices also affect the purchasing power of participants. Higher prices reduce the supports participants can purchase within</w:t>
      </w:r>
      <w:r w:rsidR="006A4FBA" w:rsidRPr="00087A9D">
        <w:t xml:space="preserve"> a given </w:t>
      </w:r>
      <w:r w:rsidR="007D5116">
        <w:t>support</w:t>
      </w:r>
      <w:r w:rsidR="007D5116" w:rsidRPr="00087A9D">
        <w:t xml:space="preserve"> </w:t>
      </w:r>
      <w:r w:rsidR="006A4FBA" w:rsidRPr="00087A9D">
        <w:t>budget. P</w:t>
      </w:r>
      <w:r w:rsidRPr="00087A9D">
        <w:t xml:space="preserve">rices </w:t>
      </w:r>
      <w:r w:rsidR="006A4FBA" w:rsidRPr="00087A9D">
        <w:t xml:space="preserve">also </w:t>
      </w:r>
      <w:r w:rsidRPr="00087A9D">
        <w:t>affect the total costs of the NDIS and therefore its financial sustainability, and the allocation of resources to the NDIS (and therefore possible production), relative to other sectors.</w:t>
      </w:r>
      <w:r w:rsidR="006064CE" w:rsidRPr="00087A9D">
        <w:t xml:space="preserve"> </w:t>
      </w:r>
      <w:r w:rsidRPr="00087A9D">
        <w:t>Pricing can also</w:t>
      </w:r>
      <w:r w:rsidR="006064CE" w:rsidRPr="00087A9D">
        <w:t xml:space="preserve"> </w:t>
      </w:r>
      <w:r w:rsidRPr="00087A9D">
        <w:t>affect providers’</w:t>
      </w:r>
      <w:r w:rsidR="001C69AA" w:rsidRPr="00087A9D">
        <w:t xml:space="preserve"> choices, </w:t>
      </w:r>
      <w:r w:rsidRPr="00087A9D">
        <w:t xml:space="preserve">including by providing incentives: </w:t>
      </w:r>
      <w:r w:rsidR="00E37CD4" w:rsidRPr="00087A9D">
        <w:t xml:space="preserve">for entering the market; </w:t>
      </w:r>
      <w:r w:rsidRPr="00087A9D">
        <w:t xml:space="preserve">for upskilling and right-skilling; for innovation; </w:t>
      </w:r>
      <w:r w:rsidR="001C69AA" w:rsidRPr="00087A9D">
        <w:t xml:space="preserve">and </w:t>
      </w:r>
      <w:r w:rsidRPr="00087A9D">
        <w:t>for improvement</w:t>
      </w:r>
      <w:r w:rsidR="007D5116">
        <w:t>s</w:t>
      </w:r>
      <w:r w:rsidRPr="00087A9D">
        <w:t xml:space="preserve"> in service quality and outcomes. </w:t>
      </w:r>
    </w:p>
    <w:p w14:paraId="7960D83F" w14:textId="77777777" w:rsidR="00B409D1" w:rsidRPr="00087A9D" w:rsidRDefault="006A4FBA" w:rsidP="00B409D1">
      <w:r w:rsidRPr="00087A9D">
        <w:t xml:space="preserve">As the markets for disability goods and services develop and operate more effectively, </w:t>
      </w:r>
      <w:r w:rsidR="00FB0CD9" w:rsidRPr="00087A9D">
        <w:t>it is ex</w:t>
      </w:r>
      <w:r w:rsidRPr="00087A9D">
        <w:t xml:space="preserve">pected that the </w:t>
      </w:r>
      <w:r w:rsidR="00CD7CF3">
        <w:t>National Disability Insurance Agency (</w:t>
      </w:r>
      <w:r w:rsidRPr="00087A9D">
        <w:t>NDIA</w:t>
      </w:r>
      <w:r w:rsidR="00CD7CF3">
        <w:t>), as market steward for the NDIS,</w:t>
      </w:r>
      <w:r w:rsidRPr="00087A9D">
        <w:t xml:space="preserve"> will </w:t>
      </w:r>
      <w:r w:rsidR="007D5116">
        <w:t>be</w:t>
      </w:r>
      <w:r w:rsidRPr="00087A9D">
        <w:t xml:space="preserve"> less intervention</w:t>
      </w:r>
      <w:r w:rsidR="007D5116">
        <w:t>al</w:t>
      </w:r>
      <w:r w:rsidRPr="00087A9D">
        <w:t xml:space="preserve">. However, deregulation will necessarily occur at different points in time </w:t>
      </w:r>
      <w:r w:rsidR="00E37CD4" w:rsidRPr="00087A9D">
        <w:t xml:space="preserve">for different markets </w:t>
      </w:r>
      <w:r w:rsidRPr="00087A9D">
        <w:t xml:space="preserve">and may not be feasible in some cases. Currently, </w:t>
      </w:r>
      <w:r w:rsidR="00B409D1" w:rsidRPr="00087A9D">
        <w:t>the NDIA varies its approach to the regulation of prices</w:t>
      </w:r>
      <w:r w:rsidRPr="00087A9D">
        <w:t xml:space="preserve"> </w:t>
      </w:r>
      <w:r w:rsidR="00B409D1" w:rsidRPr="00087A9D">
        <w:t>between:</w:t>
      </w:r>
    </w:p>
    <w:p w14:paraId="1354F2D5" w14:textId="77777777" w:rsidR="00B409D1" w:rsidRPr="00087A9D" w:rsidRDefault="00B409D1" w:rsidP="00D57227">
      <w:pPr>
        <w:pStyle w:val="ListParagraph"/>
      </w:pPr>
      <w:r w:rsidRPr="00087A9D">
        <w:rPr>
          <w:b/>
        </w:rPr>
        <w:t>No regulation</w:t>
      </w:r>
      <w:r w:rsidRPr="00087A9D">
        <w:t xml:space="preserve"> (deregulated markets): this is typically used in cases where markets are highly competitive – for example, transport.</w:t>
      </w:r>
    </w:p>
    <w:p w14:paraId="3CF4984A" w14:textId="77777777" w:rsidR="00B409D1" w:rsidRPr="00087A9D" w:rsidRDefault="00B409D1" w:rsidP="00D57227">
      <w:pPr>
        <w:pStyle w:val="ListParagraph"/>
      </w:pPr>
      <w:r w:rsidRPr="00087A9D">
        <w:rPr>
          <w:b/>
        </w:rPr>
        <w:t xml:space="preserve">The imposition of </w:t>
      </w:r>
      <w:r w:rsidR="006A299A">
        <w:rPr>
          <w:b/>
        </w:rPr>
        <w:t>price limit</w:t>
      </w:r>
      <w:r w:rsidRPr="00087A9D">
        <w:rPr>
          <w:b/>
        </w:rPr>
        <w:t>s</w:t>
      </w:r>
      <w:r w:rsidRPr="00087A9D">
        <w:t>: these represent a maximum allowable price payable by participants for types of supports. This approach is used in a significant number of markets, which are still developing and growing, such as those for attendant care.</w:t>
      </w:r>
    </w:p>
    <w:p w14:paraId="0E833098" w14:textId="77777777" w:rsidR="00AC5E2D" w:rsidRPr="00AC5E2D" w:rsidRDefault="006064CE" w:rsidP="00AC5E2D">
      <w:pPr>
        <w:pStyle w:val="ListParagraph"/>
      </w:pPr>
      <w:r w:rsidRPr="00087A9D">
        <w:rPr>
          <w:b/>
        </w:rPr>
        <w:t>Quotable supports</w:t>
      </w:r>
      <w:r w:rsidRPr="00087A9D">
        <w:t xml:space="preserve">: in which participants are expected to obtain quotations from suppliers to provide to the NDIA </w:t>
      </w:r>
      <w:r w:rsidR="0035629B">
        <w:t>as part of</w:t>
      </w:r>
      <w:r w:rsidRPr="00087A9D">
        <w:t xml:space="preserve"> verify</w:t>
      </w:r>
      <w:r w:rsidR="0035629B">
        <w:t>ing</w:t>
      </w:r>
      <w:r w:rsidRPr="00087A9D">
        <w:t xml:space="preserve"> that prices are fair and reasonable. </w:t>
      </w:r>
    </w:p>
    <w:p w14:paraId="59EBE54C" w14:textId="77777777" w:rsidR="00AC5E2D" w:rsidRDefault="00AC5E2D" w:rsidP="00AC5E2D">
      <w:r>
        <w:t>Price controls need to take into account efficiency and the need to expand supply. Markets for disability supports are continuing to develop, with both increases in market supply and improvements in production efficiency required. While improvements to production efficiency imply reductions to costs in the long run, expansion of market supply necessitates higher short to medium term prices. To maintain and expand production volumes of disability supports, higher short-term prices are thus needed. This will serve as an incentive to redirect the allocation of resources to the NDIS from other sectors in the economy. Without price growth, supply side shortages will likely exist.</w:t>
      </w:r>
    </w:p>
    <w:p w14:paraId="49C889A6" w14:textId="77777777" w:rsidR="00AC5E2D" w:rsidRDefault="00AC5E2D" w:rsidP="00AC5E2D">
      <w:r>
        <w:t>The NDIS Pricing Strategy is best understood in terms of four different concepts of pricing:</w:t>
      </w:r>
    </w:p>
    <w:p w14:paraId="2D557481" w14:textId="77777777" w:rsidR="00AC5E2D" w:rsidRDefault="00AC5E2D" w:rsidP="00AC5E2D">
      <w:pPr>
        <w:pStyle w:val="DotPoint"/>
      </w:pPr>
      <w:r>
        <w:rPr>
          <w:b/>
        </w:rPr>
        <w:t>Efficient price levels</w:t>
      </w:r>
      <w:r>
        <w:t xml:space="preserve"> – Price levels that represent the long run minimum cost of production. Sufficient production at efficient price level is only expected to be achievable in the long run in mature markets, with strong competition between providers.</w:t>
      </w:r>
    </w:p>
    <w:p w14:paraId="4263527A" w14:textId="77777777" w:rsidR="00AC5E2D" w:rsidRDefault="00AC5E2D" w:rsidP="00AC5E2D">
      <w:pPr>
        <w:pStyle w:val="DotPoint"/>
      </w:pPr>
      <w:r>
        <w:rPr>
          <w:b/>
        </w:rPr>
        <w:t>Sustainable price levels</w:t>
      </w:r>
      <w:r>
        <w:t xml:space="preserve"> – Price levels that represent, at a given time, the price at which a firm operating at current levels of efficiency is viable (even if inefficient against the long run efficient technology). In the short term, prices at or above sustainable levels are required to ensure that current supply levels remain stable and providers with costs somewhat above the most efficient level remain viable. </w:t>
      </w:r>
    </w:p>
    <w:p w14:paraId="775FF573" w14:textId="77777777" w:rsidR="00AC5E2D" w:rsidRDefault="00AC5E2D" w:rsidP="00AC5E2D">
      <w:pPr>
        <w:pStyle w:val="DotPoint"/>
      </w:pPr>
      <w:r>
        <w:rPr>
          <w:b/>
        </w:rPr>
        <w:t>Transitional price levels</w:t>
      </w:r>
      <w:r>
        <w:t xml:space="preserve"> – Price levels that represent, at a given time, the price necessary to attract new providers to enter the market or to reduce exits from the market. Transitional price levels represent the price required to attract economic resources from other parts of the economy to expand provider supply. Transitional price levels are above sustainable price levels, but should only be adopted where, as is the case in the NDIS transition period, a significant expansion of supply is required. </w:t>
      </w:r>
    </w:p>
    <w:p w14:paraId="37582288" w14:textId="77777777" w:rsidR="00AC5E2D" w:rsidRDefault="00AC5E2D" w:rsidP="00AC5E2D">
      <w:pPr>
        <w:pStyle w:val="DotPoint"/>
      </w:pPr>
      <w:r>
        <w:rPr>
          <w:b/>
        </w:rPr>
        <w:t>Price caps</w:t>
      </w:r>
      <w:r>
        <w:t xml:space="preserve"> – Upper limits on prices, used to reduce the potential exercise of market power.</w:t>
      </w:r>
    </w:p>
    <w:bookmarkStart w:id="2" w:name="_Ref1053514"/>
    <w:p w14:paraId="4B3188A8" w14:textId="24CA56B1" w:rsidR="00AC5E2D" w:rsidRDefault="00AC5E2D" w:rsidP="00AC5E2D">
      <w:r>
        <w:fldChar w:fldCharType="begin"/>
      </w:r>
      <w:r>
        <w:instrText xml:space="preserve"> REF _Ref1398080 \h  \* MERGEFORMAT </w:instrText>
      </w:r>
      <w:r>
        <w:fldChar w:fldCharType="separate"/>
      </w:r>
      <w:r w:rsidR="003777EA">
        <w:t>Figure 1</w:t>
      </w:r>
      <w:r>
        <w:fldChar w:fldCharType="end"/>
      </w:r>
      <w:r>
        <w:t xml:space="preserve"> below shows the market clearing equilibrium price and quantity of disability supports prior to the NDIS (at point A) and the long run market clearing equilibrium price and quantity of disability supports including the NDIS demand (at point C). It also illustrates the paths that sustainable price levels (red arrow) and transitional price levels (green arrow) will take in real terms over the transition to the long run market clearing equilibrium price, recognising the potential inefficiency of some current providers and the need to significantly expand and not unnecessarily disrupt the supply of services to people with disabilities. </w:t>
      </w:r>
    </w:p>
    <w:p w14:paraId="46547949" w14:textId="30CC4700" w:rsidR="00AC5E2D" w:rsidRDefault="00AC5E2D" w:rsidP="00AC5E2D">
      <w:pPr>
        <w:pStyle w:val="Caption"/>
      </w:pPr>
      <w:bookmarkStart w:id="3" w:name="_Ref1398080"/>
      <w:bookmarkStart w:id="4" w:name="_Toc19475221"/>
      <w:bookmarkStart w:id="5" w:name="_Toc2339415"/>
      <w:r>
        <w:t>Figure </w:t>
      </w:r>
      <w:r>
        <w:fldChar w:fldCharType="begin"/>
      </w:r>
      <w:r>
        <w:rPr>
          <w:noProof/>
        </w:rPr>
        <w:instrText xml:space="preserve"> SEQ Figure \* ARABIC </w:instrText>
      </w:r>
      <w:r>
        <w:fldChar w:fldCharType="separate"/>
      </w:r>
      <w:r w:rsidR="003777EA">
        <w:rPr>
          <w:noProof/>
        </w:rPr>
        <w:t>1</w:t>
      </w:r>
      <w:r>
        <w:fldChar w:fldCharType="end"/>
      </w:r>
      <w:bookmarkEnd w:id="2"/>
      <w:bookmarkEnd w:id="3"/>
      <w:r>
        <w:t>: Transition from equilibrium prior to the NDIS to the long run NDIS equilibrium</w:t>
      </w:r>
      <w:bookmarkEnd w:id="4"/>
      <w:bookmarkEnd w:id="5"/>
    </w:p>
    <w:p w14:paraId="31BDC0B5" w14:textId="77777777" w:rsidR="00AC5E2D" w:rsidRDefault="00AC5E2D" w:rsidP="00AC5E2D">
      <w:pPr>
        <w:spacing w:after="0"/>
      </w:pPr>
      <w:r>
        <w:rPr>
          <w:noProof/>
          <w:lang w:eastAsia="en-AU"/>
        </w:rPr>
        <w:drawing>
          <wp:inline distT="0" distB="0" distL="0" distR="0" wp14:anchorId="0D55ED58" wp14:editId="347F0B82">
            <wp:extent cx="5398770" cy="3244215"/>
            <wp:effectExtent l="0" t="0" r="0" b="0"/>
            <wp:docPr id="57" name="Picture 57" descr="Figure 9: Transition from equilibrium prior to the NDIS to the long run NDIS equilibrium.&#10;Shows the market clearing equilibrium price and quantity of disability supports prior to the NDIS (at point A) and the shift to the theoretical long run market clearing equilibrium price and quantity of disability supports. This is expected to follow the path along the initial shift in the demand curve for disability supports which would be met with a shift in the long run supply curve at the NDIS full roll-out (at point C, with a higher expected quantity and price equilibrium point)."/>
            <wp:cNvGraphicFramePr/>
            <a:graphic xmlns:a="http://schemas.openxmlformats.org/drawingml/2006/main">
              <a:graphicData uri="http://schemas.openxmlformats.org/drawingml/2006/picture">
                <pic:pic xmlns:pic="http://schemas.openxmlformats.org/drawingml/2006/picture">
                  <pic:nvPicPr>
                    <pic:cNvPr id="57" name="Picture 57" descr="Shows the market clearing equilibrium price and quantity of disability supports prior to the NDIS (at point A) and the shift to the theoretical long run market clearing equilibrium price and quantity of disability supports. This is expected to follow the path along the initial shift in the demand curve for disability supports which would be met with a shift in the long run supply curve at the NDIS full roll-out (at point C, with a higher expected quantity and price equilibrium point)." title="Figure 9: Transition from equilibrium prior to the NDIS to the long run NDIS equilibrium"/>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9405" cy="3250565"/>
                    </a:xfrm>
                    <a:prstGeom prst="rect">
                      <a:avLst/>
                    </a:prstGeom>
                    <a:noFill/>
                  </pic:spPr>
                </pic:pic>
              </a:graphicData>
            </a:graphic>
          </wp:inline>
        </w:drawing>
      </w:r>
    </w:p>
    <w:p w14:paraId="5796BBC4" w14:textId="6BC82EEA" w:rsidR="00AC5E2D" w:rsidRDefault="00AC5E2D" w:rsidP="00AC5E2D">
      <w:r>
        <w:t>In the longer term, efficient price levels are the best representation of the reasonable cos</w:t>
      </w:r>
      <w:r w:rsidR="00AF55F4">
        <w:t xml:space="preserve">t of the provision of a support. </w:t>
      </w:r>
      <w:r>
        <w:t xml:space="preserve">However, in the short to medium term, sustainable price levels are the best representation of the reasonable cost of the provision of a support. In the long run, sustainable price levels tend towards efficient price levels. In the short to medium term, however, as the market matures and expands, price caps need to be sufficient to both maintain current supply and attract new supply. That is, price caps for the NDIS need, in the short to medium-term at least, to be set with regard to transitional price levels, rather than sustainable and </w:t>
      </w:r>
      <w:r w:rsidR="00AF55F4">
        <w:t>long run efficient price levels. P</w:t>
      </w:r>
      <w:r w:rsidRPr="00ED5403">
        <w:t>rice caps</w:t>
      </w:r>
      <w:r>
        <w:rPr>
          <w:b/>
        </w:rPr>
        <w:t xml:space="preserve"> </w:t>
      </w:r>
      <w:r>
        <w:t xml:space="preserve">are </w:t>
      </w:r>
      <w:r w:rsidR="00AF55F4">
        <w:t xml:space="preserve">therefore </w:t>
      </w:r>
      <w:r>
        <w:t xml:space="preserve">set in accordance with the movements in transitional price levels (the green arrow in </w:t>
      </w:r>
      <w:r>
        <w:fldChar w:fldCharType="begin"/>
      </w:r>
      <w:r>
        <w:instrText xml:space="preserve"> REF _Ref1398080 \h </w:instrText>
      </w:r>
      <w:r>
        <w:fldChar w:fldCharType="separate"/>
      </w:r>
      <w:r w:rsidR="003777EA">
        <w:t>Figure </w:t>
      </w:r>
      <w:r w:rsidR="003777EA">
        <w:rPr>
          <w:noProof/>
        </w:rPr>
        <w:t>1</w:t>
      </w:r>
      <w:r>
        <w:fldChar w:fldCharType="end"/>
      </w:r>
      <w:r>
        <w:t xml:space="preserve">), to recognise the costs providers are facing in adjusting to the new arrangements, the time required to unwind established agreements, and to encourage growth in supply while driving efficiency. This is done through an explicit and decreasing loading on sustainable price levels – the Temporary Transformation Payment (TTP). </w:t>
      </w:r>
    </w:p>
    <w:p w14:paraId="4CAE2A24" w14:textId="77777777" w:rsidR="00AC5E2D" w:rsidRDefault="00AC5E2D" w:rsidP="00AC5E2D">
      <w:pPr>
        <w:pStyle w:val="ListParagraph"/>
        <w:numPr>
          <w:ilvl w:val="0"/>
          <w:numId w:val="45"/>
        </w:numPr>
      </w:pPr>
      <w:r>
        <w:t>Sustainable price levels are set with reference to the revealed economics of current providers. They are determined by the outcomes achieved by the most efficient (the 25th percentile) of providers</w:t>
      </w:r>
      <w:r w:rsidR="00862C84">
        <w:t>. This means that at least 25 per cent of providers in the sector are currently operating at better than this cost benchmark.</w:t>
      </w:r>
      <w:r w:rsidR="00862C84">
        <w:rPr>
          <w:rStyle w:val="FootnoteReference"/>
        </w:rPr>
        <w:footnoteReference w:id="3"/>
      </w:r>
      <w:r w:rsidR="00AF55F4">
        <w:t xml:space="preserve"> Th</w:t>
      </w:r>
      <w:r w:rsidR="006B0D9B">
        <w:t>e NDIA therefore considers that th</w:t>
      </w:r>
      <w:r w:rsidR="00AF55F4">
        <w:t>ese benchmarks therefore represent reasonable targets for providers to aim for in the delivery of their services.</w:t>
      </w:r>
    </w:p>
    <w:p w14:paraId="50937C0C" w14:textId="77777777" w:rsidR="00862C84" w:rsidRDefault="00862C84" w:rsidP="00AC5E2D">
      <w:pPr>
        <w:pStyle w:val="ListParagraph"/>
        <w:numPr>
          <w:ilvl w:val="0"/>
          <w:numId w:val="45"/>
        </w:numPr>
      </w:pPr>
      <w:r>
        <w:t>The original level of the TTP (and hence transitional price levels were initially set at the amount to ensure that at least 50 per cent of providers in the sector were operating at better than this cost benchmark. The level of the TTP is being reduced over time to encourage providers to become more efficient and to achieve better value for money for participants and taxpayers.</w:t>
      </w:r>
    </w:p>
    <w:p w14:paraId="450AB173" w14:textId="77777777" w:rsidR="00AC5E2D" w:rsidRDefault="00AC5E2D" w:rsidP="00AC5E2D">
      <w:r>
        <w:t xml:space="preserve">Further information on the NDIA’s approach to pricing be found in the NDIA’s </w:t>
      </w:r>
      <w:r w:rsidRPr="00932124">
        <w:rPr>
          <w:i/>
        </w:rPr>
        <w:t>Pricing Strategy</w:t>
      </w:r>
      <w:r>
        <w:rPr>
          <w:rStyle w:val="FootnoteReference"/>
        </w:rPr>
        <w:footnoteReference w:id="4"/>
      </w:r>
      <w:r>
        <w:t xml:space="preserve"> and in the report of the </w:t>
      </w:r>
      <w:r w:rsidRPr="009C2D82">
        <w:rPr>
          <w:i/>
        </w:rPr>
        <w:t>Annual Pricing Review 2020-21</w:t>
      </w:r>
      <w:r>
        <w:t>.</w:t>
      </w:r>
      <w:r>
        <w:rPr>
          <w:rStyle w:val="FootnoteReference"/>
        </w:rPr>
        <w:footnoteReference w:id="5"/>
      </w:r>
      <w:r>
        <w:t xml:space="preserve"> </w:t>
      </w:r>
    </w:p>
    <w:p w14:paraId="4646617E" w14:textId="77777777" w:rsidR="00ED5403" w:rsidRPr="00087A9D" w:rsidRDefault="00ED5403" w:rsidP="00A22306">
      <w:pPr>
        <w:sectPr w:rsidR="00ED5403" w:rsidRPr="00087A9D" w:rsidSect="00A54E47">
          <w:type w:val="oddPage"/>
          <w:pgSz w:w="11906" w:h="16838" w:code="9"/>
          <w:pgMar w:top="1440" w:right="1440" w:bottom="1440" w:left="1440" w:header="709" w:footer="709" w:gutter="0"/>
          <w:cols w:space="708"/>
          <w:titlePg/>
          <w:docGrid w:linePitch="360"/>
        </w:sectPr>
      </w:pPr>
    </w:p>
    <w:p w14:paraId="1516FB03" w14:textId="77777777" w:rsidR="00B227D9" w:rsidRDefault="00FF6030" w:rsidP="00315545">
      <w:pPr>
        <w:pStyle w:val="Heading1"/>
      </w:pPr>
      <w:bookmarkStart w:id="6" w:name="_Toc46398734"/>
      <w:r>
        <w:t>Disability Support Worker</w:t>
      </w:r>
      <w:r w:rsidR="00F61CF7">
        <w:t xml:space="preserve"> </w:t>
      </w:r>
      <w:r w:rsidR="00A22306">
        <w:t>Cost Model</w:t>
      </w:r>
      <w:bookmarkEnd w:id="6"/>
      <w:r w:rsidR="00A22306">
        <w:t xml:space="preserve"> </w:t>
      </w:r>
    </w:p>
    <w:p w14:paraId="2DA86C92" w14:textId="77777777" w:rsidR="00AF4F1F" w:rsidRPr="00F61CF7" w:rsidRDefault="0001758C" w:rsidP="0001758C">
      <w:r>
        <w:t>This Chapter sets out the assumptions and</w:t>
      </w:r>
      <w:r w:rsidR="004E6680">
        <w:t xml:space="preserve"> methodology of the Cost Model </w:t>
      </w:r>
      <w:r>
        <w:t xml:space="preserve">that the NDIA uses to estimate the costs </w:t>
      </w:r>
      <w:r w:rsidR="00FF6030">
        <w:t xml:space="preserve">to disability service providers </w:t>
      </w:r>
      <w:r>
        <w:t xml:space="preserve">of </w:t>
      </w:r>
      <w:r w:rsidR="00FF6030">
        <w:t>employing Disability Support Workers (DSWs)</w:t>
      </w:r>
      <w:r>
        <w:t xml:space="preserve"> </w:t>
      </w:r>
      <w:r w:rsidR="00FF6030">
        <w:t xml:space="preserve">to deliver </w:t>
      </w:r>
      <w:r>
        <w:t xml:space="preserve">supports </w:t>
      </w:r>
      <w:r w:rsidR="00FF6030">
        <w:t>through the NDIS</w:t>
      </w:r>
      <w:r>
        <w:t xml:space="preserve">. The </w:t>
      </w:r>
      <w:r w:rsidR="00E27A53">
        <w:t>Cost Model</w:t>
      </w:r>
      <w:r>
        <w:t xml:space="preserve"> est</w:t>
      </w:r>
      <w:r w:rsidR="00FF6030">
        <w:t>imates the cost of delivering a billable</w:t>
      </w:r>
      <w:r>
        <w:t xml:space="preserve"> hour of support taking into account all of the costs associated with every billable hour, including</w:t>
      </w:r>
      <w:r w:rsidR="00FF6030">
        <w:t>:</w:t>
      </w:r>
      <w:r>
        <w:t xml:space="preserve"> base pay; shift loadings; holiday pay; salary on costs; supervision costs; utilisation</w:t>
      </w:r>
      <w:r w:rsidR="00FF6030">
        <w:t xml:space="preserve"> (non-billable activities)</w:t>
      </w:r>
      <w:r>
        <w:t xml:space="preserve">; </w:t>
      </w:r>
      <w:r w:rsidR="0088132C">
        <w:t xml:space="preserve">employee allowances; </w:t>
      </w:r>
      <w:r>
        <w:t>corporate overheads and margin.</w:t>
      </w:r>
      <w:r w:rsidR="009C2D82">
        <w:t xml:space="preserve"> These estimates are the basis of the price limits set by the NDIA for supports delivered by DSWs, with price limit set at the level that can be ac</w:t>
      </w:r>
      <w:r w:rsidR="006B0D9B">
        <w:t xml:space="preserve">hieved by </w:t>
      </w:r>
      <w:r w:rsidR="009C2D82">
        <w:t>providers</w:t>
      </w:r>
      <w:r w:rsidR="006B0D9B">
        <w:t xml:space="preserve"> who match the benchmarks set by their reasonable efficient competitors</w:t>
      </w:r>
      <w:r w:rsidR="009C2D82">
        <w:t>.</w:t>
      </w:r>
      <w:r w:rsidR="009A65FC">
        <w:t xml:space="preserve"> Of course, the costs of providers are driven by a number of different factors, all of which are reflected in the Cost Model. Providers may overachieve on some benchmarks and underachieve on others.</w:t>
      </w:r>
    </w:p>
    <w:p w14:paraId="3159E5A5" w14:textId="77777777" w:rsidR="000E200F" w:rsidRDefault="0001758C" w:rsidP="000E200F">
      <w:r>
        <w:t xml:space="preserve">The NDIA recognises that providers have to employ </w:t>
      </w:r>
      <w:r w:rsidR="00CD7CF3">
        <w:t>DSWs</w:t>
      </w:r>
      <w:r>
        <w:t xml:space="preserve"> with different skill levels and levels of experience to meet the dif</w:t>
      </w:r>
      <w:r w:rsidR="006B0D9B">
        <w:t>ferent needs of participants. The Cost Model</w:t>
      </w:r>
      <w:r>
        <w:t xml:space="preserve"> therefore has different sets of cost assumptions for</w:t>
      </w:r>
      <w:r w:rsidR="00FF6030">
        <w:t xml:space="preserve"> </w:t>
      </w:r>
      <w:r w:rsidR="007075DE">
        <w:t>four</w:t>
      </w:r>
      <w:r w:rsidR="006B0D9B">
        <w:t xml:space="preserve"> types of workers</w:t>
      </w:r>
      <w:r>
        <w:t>.</w:t>
      </w:r>
    </w:p>
    <w:p w14:paraId="60CBC527" w14:textId="77777777" w:rsidR="001D5AE6" w:rsidRDefault="0001758C" w:rsidP="00315545">
      <w:pPr>
        <w:pStyle w:val="Heading2"/>
      </w:pPr>
      <w:bookmarkStart w:id="7" w:name="_Toc44506366"/>
      <w:bookmarkStart w:id="8" w:name="_Toc44511371"/>
      <w:bookmarkStart w:id="9" w:name="_Toc44511742"/>
      <w:bookmarkStart w:id="10" w:name="_Toc46398735"/>
      <w:bookmarkEnd w:id="7"/>
      <w:bookmarkEnd w:id="8"/>
      <w:bookmarkEnd w:id="9"/>
      <w:r>
        <w:t>Applicable Industrial Award</w:t>
      </w:r>
      <w:bookmarkEnd w:id="10"/>
    </w:p>
    <w:p w14:paraId="04575DAF" w14:textId="77777777" w:rsidR="0001758C" w:rsidRDefault="0001758C" w:rsidP="0001758C">
      <w:r>
        <w:t xml:space="preserve">The national award for DSWs is the </w:t>
      </w:r>
      <w:bookmarkStart w:id="11" w:name="_Ref18506169"/>
      <w:r w:rsidRPr="0001758C">
        <w:rPr>
          <w:i/>
        </w:rPr>
        <w:t>Social, Community, Home Care and Disability Services Industry Award 2010</w:t>
      </w:r>
      <w:r w:rsidR="00975BC5">
        <w:rPr>
          <w:i/>
        </w:rPr>
        <w:t xml:space="preserve"> </w:t>
      </w:r>
      <w:r w:rsidR="00975BC5">
        <w:t>(SCHADS Award)</w:t>
      </w:r>
      <w:r>
        <w:t>.</w:t>
      </w:r>
      <w:r>
        <w:rPr>
          <w:rStyle w:val="FootnoteReference"/>
        </w:rPr>
        <w:footnoteReference w:id="6"/>
      </w:r>
      <w:r>
        <w:t xml:space="preserve"> The NDIA recognises that some DSWs are employed under Enterprise Bargaining Agreements (EBAs). However, these EBAs have to leave the worker no worse off overall than </w:t>
      </w:r>
      <w:r w:rsidR="00294FA5">
        <w:t xml:space="preserve">they would be under </w:t>
      </w:r>
      <w:r>
        <w:t>the relevan</w:t>
      </w:r>
      <w:r w:rsidR="00294FA5">
        <w:t>t Award</w:t>
      </w:r>
      <w:r w:rsidR="00E27A53">
        <w:t>. A</w:t>
      </w:r>
      <w:r w:rsidR="00294FA5">
        <w:t xml:space="preserve">ny additional benefits offered by EBAs over the Award have been agreed to by providers and </w:t>
      </w:r>
      <w:r w:rsidR="00E41E33">
        <w:t xml:space="preserve">are </w:t>
      </w:r>
      <w:r w:rsidR="00294FA5">
        <w:t xml:space="preserve">often offset by productivity gains. The </w:t>
      </w:r>
      <w:r w:rsidR="00FF6030">
        <w:t xml:space="preserve">NDIA therefore considers the conditions set out in the </w:t>
      </w:r>
      <w:r w:rsidR="00294FA5">
        <w:t xml:space="preserve">SCHADS Award </w:t>
      </w:r>
      <w:r w:rsidR="00FF6030">
        <w:t xml:space="preserve">to be the appropriate foundation for the </w:t>
      </w:r>
      <w:r w:rsidR="00E27A53">
        <w:t>Cost Model</w:t>
      </w:r>
      <w:r w:rsidR="00294FA5">
        <w:t>.</w:t>
      </w:r>
    </w:p>
    <w:p w14:paraId="26B1C75C" w14:textId="77777777" w:rsidR="00F61CF7" w:rsidRDefault="00F61CF7" w:rsidP="00315545">
      <w:pPr>
        <w:pStyle w:val="Heading2"/>
      </w:pPr>
      <w:bookmarkStart w:id="12" w:name="_Toc46398736"/>
      <w:r>
        <w:t>Base Pay</w:t>
      </w:r>
      <w:bookmarkEnd w:id="11"/>
      <w:bookmarkEnd w:id="12"/>
    </w:p>
    <w:p w14:paraId="0D39E486" w14:textId="6708F48E" w:rsidR="00BB06ED" w:rsidRDefault="00BB06ED" w:rsidP="00294FA5">
      <w:r>
        <w:fldChar w:fldCharType="begin"/>
      </w:r>
      <w:r>
        <w:instrText xml:space="preserve"> REF _Ref16507557 \h </w:instrText>
      </w:r>
      <w:r>
        <w:fldChar w:fldCharType="separate"/>
      </w:r>
      <w:r w:rsidR="003777EA" w:rsidRPr="00975FC4">
        <w:t xml:space="preserve">Table </w:t>
      </w:r>
      <w:r w:rsidR="003777EA">
        <w:rPr>
          <w:noProof/>
        </w:rPr>
        <w:t>1</w:t>
      </w:r>
      <w:r>
        <w:fldChar w:fldCharType="end"/>
      </w:r>
      <w:r w:rsidR="00294FA5">
        <w:t xml:space="preserve"> sets out the </w:t>
      </w:r>
      <w:r w:rsidR="00E27A53">
        <w:t>Cost Model’</w:t>
      </w:r>
      <w:r w:rsidR="00294FA5">
        <w:t>s assumptions with respect to the base pay of DSWs.</w:t>
      </w:r>
      <w:r w:rsidR="00294FA5">
        <w:rPr>
          <w:rStyle w:val="FootnoteReference"/>
        </w:rPr>
        <w:footnoteReference w:id="7"/>
      </w:r>
    </w:p>
    <w:p w14:paraId="0100A2D4" w14:textId="42BF68C1" w:rsidR="009172F1" w:rsidRPr="00975FC4" w:rsidRDefault="009172F1" w:rsidP="00773F6C">
      <w:pPr>
        <w:pStyle w:val="Caption"/>
        <w:keepNext w:val="0"/>
      </w:pPr>
      <w:bookmarkStart w:id="13" w:name="_Ref16507557"/>
      <w:bookmarkStart w:id="14" w:name="_Toc17059298"/>
      <w:r w:rsidRPr="00975FC4">
        <w:t xml:space="preserve">Table </w:t>
      </w:r>
      <w:r w:rsidR="003777EA">
        <w:fldChar w:fldCharType="begin"/>
      </w:r>
      <w:r w:rsidR="003777EA">
        <w:instrText xml:space="preserve"> SEQ Table \* ARABIC </w:instrText>
      </w:r>
      <w:r w:rsidR="003777EA">
        <w:fldChar w:fldCharType="separate"/>
      </w:r>
      <w:r w:rsidR="003777EA">
        <w:rPr>
          <w:noProof/>
        </w:rPr>
        <w:t>1</w:t>
      </w:r>
      <w:r w:rsidR="003777EA">
        <w:rPr>
          <w:noProof/>
        </w:rPr>
        <w:fldChar w:fldCharType="end"/>
      </w:r>
      <w:bookmarkEnd w:id="13"/>
      <w:r w:rsidRPr="00975FC4">
        <w:t xml:space="preserve">: </w:t>
      </w:r>
      <w:bookmarkEnd w:id="14"/>
      <w:r w:rsidR="00227122">
        <w:t>Assumed</w:t>
      </w:r>
      <w:r>
        <w:t xml:space="preserve"> SCHADS </w:t>
      </w:r>
      <w:r w:rsidR="001A1BE7">
        <w:t>Classifications and Pay R</w:t>
      </w:r>
      <w:r w:rsidR="00CD7CF3">
        <w:t>ates</w:t>
      </w:r>
      <w:r w:rsidR="00E27A53">
        <w:t>, 1 July 2020</w:t>
      </w:r>
    </w:p>
    <w:tbl>
      <w:tblPr>
        <w:tblStyle w:val="GridTable4-Accent4"/>
        <w:tblW w:w="5000" w:type="pct"/>
        <w:tblLook w:val="04A0" w:firstRow="1" w:lastRow="0" w:firstColumn="1" w:lastColumn="0" w:noHBand="0" w:noVBand="1"/>
        <w:tblDescription w:val="Table 1: Assumed SCHADS Classifications and Pay Rates, 1 July 2020"/>
      </w:tblPr>
      <w:tblGrid>
        <w:gridCol w:w="2688"/>
        <w:gridCol w:w="3623"/>
        <w:gridCol w:w="2705"/>
      </w:tblGrid>
      <w:tr w:rsidR="00BD4CDE" w:rsidRPr="003A3C03" w14:paraId="594BFF58" w14:textId="77777777" w:rsidTr="00773F6C">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1491" w:type="pct"/>
            <w:hideMark/>
          </w:tcPr>
          <w:p w14:paraId="107350B2" w14:textId="77777777" w:rsidR="00BD4CDE" w:rsidRPr="00294FA5" w:rsidRDefault="00BD4CDE" w:rsidP="00773F6C">
            <w:pPr>
              <w:spacing w:before="40" w:after="40" w:line="240" w:lineRule="atLeast"/>
              <w:rPr>
                <w:rFonts w:ascii="Calibri" w:hAnsi="Calibri" w:cs="Calibri"/>
                <w:sz w:val="18"/>
                <w:szCs w:val="18"/>
              </w:rPr>
            </w:pPr>
          </w:p>
        </w:tc>
        <w:tc>
          <w:tcPr>
            <w:tcW w:w="2009" w:type="pct"/>
            <w:hideMark/>
          </w:tcPr>
          <w:p w14:paraId="32EB808D" w14:textId="77777777" w:rsidR="00BD4CDE" w:rsidRPr="00294FA5" w:rsidRDefault="00227122" w:rsidP="00773F6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Assumed</w:t>
            </w:r>
            <w:r w:rsidR="00294FA5">
              <w:rPr>
                <w:sz w:val="18"/>
                <w:szCs w:val="18"/>
              </w:rPr>
              <w:t xml:space="preserve"> </w:t>
            </w:r>
            <w:r w:rsidR="00BD4CDE" w:rsidRPr="00294FA5">
              <w:rPr>
                <w:sz w:val="18"/>
                <w:szCs w:val="18"/>
              </w:rPr>
              <w:t>SCHADS Classification</w:t>
            </w:r>
          </w:p>
        </w:tc>
        <w:tc>
          <w:tcPr>
            <w:tcW w:w="1500" w:type="pct"/>
          </w:tcPr>
          <w:p w14:paraId="0FAF75EF" w14:textId="77777777" w:rsidR="00CD7CF3" w:rsidRPr="00294FA5" w:rsidRDefault="00FD55CF" w:rsidP="00773F6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b w:val="0"/>
                <w:bCs w:val="0"/>
                <w:sz w:val="18"/>
                <w:szCs w:val="18"/>
                <w:lang w:eastAsia="en-AU"/>
              </w:rPr>
            </w:pPr>
            <w:r>
              <w:rPr>
                <w:sz w:val="18"/>
                <w:szCs w:val="18"/>
              </w:rPr>
              <w:t>Award Hourly Rate</w:t>
            </w:r>
          </w:p>
        </w:tc>
      </w:tr>
      <w:tr w:rsidR="00BD4CDE" w14:paraId="4DD6F0AC" w14:textId="77777777" w:rsidTr="00773F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91" w:type="pct"/>
            <w:hideMark/>
          </w:tcPr>
          <w:p w14:paraId="538FA6ED" w14:textId="77777777" w:rsidR="00BD4CDE" w:rsidRPr="00294FA5" w:rsidRDefault="00996565" w:rsidP="00773F6C">
            <w:pPr>
              <w:spacing w:before="40" w:after="40" w:line="240" w:lineRule="atLeast"/>
              <w:rPr>
                <w:sz w:val="18"/>
                <w:szCs w:val="18"/>
              </w:rPr>
            </w:pPr>
            <w:r>
              <w:rPr>
                <w:sz w:val="18"/>
                <w:szCs w:val="18"/>
              </w:rPr>
              <w:t>DSW 1</w:t>
            </w:r>
          </w:p>
        </w:tc>
        <w:tc>
          <w:tcPr>
            <w:tcW w:w="2009" w:type="pct"/>
            <w:noWrap/>
            <w:hideMark/>
          </w:tcPr>
          <w:p w14:paraId="4903AD0F" w14:textId="77777777" w:rsidR="00BD4CDE" w:rsidRPr="00294FA5" w:rsidRDefault="00BD4CDE"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sz w:val="18"/>
                <w:szCs w:val="18"/>
              </w:rPr>
            </w:pPr>
            <w:r w:rsidRPr="00294FA5">
              <w:rPr>
                <w:sz w:val="18"/>
                <w:szCs w:val="18"/>
              </w:rPr>
              <w:t>2.3</w:t>
            </w:r>
          </w:p>
        </w:tc>
        <w:tc>
          <w:tcPr>
            <w:tcW w:w="1500" w:type="pct"/>
          </w:tcPr>
          <w:p w14:paraId="2D1305EC" w14:textId="77777777" w:rsidR="00BD4CDE" w:rsidRPr="00294FA5" w:rsidRDefault="00BD4CDE"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bCs/>
                <w:color w:val="000000"/>
                <w:sz w:val="18"/>
                <w:szCs w:val="18"/>
                <w:lang w:eastAsia="en-AU"/>
              </w:rPr>
            </w:pPr>
            <w:r w:rsidRPr="00294FA5">
              <w:rPr>
                <w:sz w:val="18"/>
                <w:szCs w:val="18"/>
              </w:rPr>
              <w:t>$</w:t>
            </w:r>
            <w:r w:rsidR="000D4540">
              <w:rPr>
                <w:sz w:val="18"/>
                <w:szCs w:val="18"/>
              </w:rPr>
              <w:t>29.56</w:t>
            </w:r>
          </w:p>
        </w:tc>
      </w:tr>
      <w:tr w:rsidR="00BD4CDE" w14:paraId="12C91501" w14:textId="77777777" w:rsidTr="00773F6C">
        <w:trPr>
          <w:trHeight w:val="300"/>
        </w:trPr>
        <w:tc>
          <w:tcPr>
            <w:cnfStyle w:val="001000000000" w:firstRow="0" w:lastRow="0" w:firstColumn="1" w:lastColumn="0" w:oddVBand="0" w:evenVBand="0" w:oddHBand="0" w:evenHBand="0" w:firstRowFirstColumn="0" w:firstRowLastColumn="0" w:lastRowFirstColumn="0" w:lastRowLastColumn="0"/>
            <w:tcW w:w="1491" w:type="pct"/>
            <w:hideMark/>
          </w:tcPr>
          <w:p w14:paraId="49DBCA54" w14:textId="77777777" w:rsidR="00BD4CDE" w:rsidRPr="00294FA5" w:rsidRDefault="00996565" w:rsidP="00773F6C">
            <w:pPr>
              <w:spacing w:before="40" w:after="40" w:line="240" w:lineRule="atLeast"/>
              <w:rPr>
                <w:sz w:val="18"/>
                <w:szCs w:val="18"/>
              </w:rPr>
            </w:pPr>
            <w:r>
              <w:rPr>
                <w:sz w:val="18"/>
                <w:szCs w:val="18"/>
              </w:rPr>
              <w:t>DSW 2</w:t>
            </w:r>
          </w:p>
        </w:tc>
        <w:tc>
          <w:tcPr>
            <w:tcW w:w="2009" w:type="pct"/>
            <w:noWrap/>
            <w:hideMark/>
          </w:tcPr>
          <w:p w14:paraId="0FEDDC2C" w14:textId="77777777" w:rsidR="00BD4CDE" w:rsidRPr="00294FA5" w:rsidRDefault="00BD4CDE"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sz w:val="18"/>
                <w:szCs w:val="18"/>
              </w:rPr>
            </w:pPr>
            <w:r w:rsidRPr="00294FA5">
              <w:rPr>
                <w:sz w:val="18"/>
                <w:szCs w:val="18"/>
              </w:rPr>
              <w:t>2.4/3.1</w:t>
            </w:r>
          </w:p>
        </w:tc>
        <w:tc>
          <w:tcPr>
            <w:tcW w:w="1500" w:type="pct"/>
          </w:tcPr>
          <w:p w14:paraId="33244DCA" w14:textId="77777777" w:rsidR="00BD4CDE" w:rsidRPr="00294FA5" w:rsidRDefault="00BD4CDE"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bCs/>
                <w:color w:val="000000"/>
                <w:sz w:val="18"/>
                <w:szCs w:val="18"/>
                <w:lang w:eastAsia="en-AU"/>
              </w:rPr>
            </w:pPr>
            <w:r w:rsidRPr="00294FA5">
              <w:rPr>
                <w:sz w:val="18"/>
                <w:szCs w:val="18"/>
              </w:rPr>
              <w:t>$</w:t>
            </w:r>
            <w:r w:rsidR="000D4540">
              <w:rPr>
                <w:sz w:val="18"/>
                <w:szCs w:val="18"/>
              </w:rPr>
              <w:t>30.69</w:t>
            </w:r>
          </w:p>
        </w:tc>
      </w:tr>
      <w:tr w:rsidR="00BD4CDE" w14:paraId="3DDBD75E" w14:textId="77777777" w:rsidTr="00773F6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91" w:type="pct"/>
            <w:hideMark/>
          </w:tcPr>
          <w:p w14:paraId="473779F1" w14:textId="77777777" w:rsidR="00BD4CDE" w:rsidRPr="00294FA5" w:rsidRDefault="00996565" w:rsidP="00773F6C">
            <w:pPr>
              <w:spacing w:before="40" w:after="40" w:line="240" w:lineRule="atLeast"/>
              <w:rPr>
                <w:sz w:val="18"/>
                <w:szCs w:val="18"/>
              </w:rPr>
            </w:pPr>
            <w:r>
              <w:rPr>
                <w:sz w:val="18"/>
                <w:szCs w:val="18"/>
              </w:rPr>
              <w:t>DSW 3</w:t>
            </w:r>
          </w:p>
        </w:tc>
        <w:tc>
          <w:tcPr>
            <w:tcW w:w="2009" w:type="pct"/>
            <w:noWrap/>
            <w:hideMark/>
          </w:tcPr>
          <w:p w14:paraId="364DDD55" w14:textId="77777777" w:rsidR="00BD4CDE" w:rsidRPr="00294FA5" w:rsidRDefault="00BD4CDE"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sz w:val="18"/>
                <w:szCs w:val="18"/>
              </w:rPr>
            </w:pPr>
            <w:r w:rsidRPr="00294FA5">
              <w:rPr>
                <w:sz w:val="18"/>
                <w:szCs w:val="18"/>
              </w:rPr>
              <w:t>3.2</w:t>
            </w:r>
          </w:p>
        </w:tc>
        <w:tc>
          <w:tcPr>
            <w:tcW w:w="1500" w:type="pct"/>
          </w:tcPr>
          <w:p w14:paraId="6430C3FE" w14:textId="77777777" w:rsidR="00BD4CDE" w:rsidRPr="00294FA5" w:rsidRDefault="00BD4CDE"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bCs/>
                <w:color w:val="000000"/>
                <w:sz w:val="18"/>
                <w:szCs w:val="18"/>
                <w:lang w:eastAsia="en-AU"/>
              </w:rPr>
            </w:pPr>
            <w:r w:rsidRPr="00294FA5">
              <w:rPr>
                <w:sz w:val="18"/>
                <w:szCs w:val="18"/>
              </w:rPr>
              <w:t>$</w:t>
            </w:r>
            <w:r w:rsidR="000D4540">
              <w:rPr>
                <w:sz w:val="18"/>
                <w:szCs w:val="18"/>
              </w:rPr>
              <w:t>31.92</w:t>
            </w:r>
          </w:p>
        </w:tc>
      </w:tr>
      <w:tr w:rsidR="007075DE" w14:paraId="26297EF8" w14:textId="77777777" w:rsidTr="00773F6C">
        <w:trPr>
          <w:trHeight w:val="300"/>
        </w:trPr>
        <w:tc>
          <w:tcPr>
            <w:cnfStyle w:val="001000000000" w:firstRow="0" w:lastRow="0" w:firstColumn="1" w:lastColumn="0" w:oddVBand="0" w:evenVBand="0" w:oddHBand="0" w:evenHBand="0" w:firstRowFirstColumn="0" w:firstRowLastColumn="0" w:lastRowFirstColumn="0" w:lastRowLastColumn="0"/>
            <w:tcW w:w="1491" w:type="pct"/>
          </w:tcPr>
          <w:p w14:paraId="35E200CC" w14:textId="77777777" w:rsidR="007075DE" w:rsidRDefault="00996565" w:rsidP="00773F6C">
            <w:pPr>
              <w:spacing w:before="40" w:after="40" w:line="240" w:lineRule="atLeast"/>
              <w:rPr>
                <w:sz w:val="18"/>
                <w:szCs w:val="18"/>
              </w:rPr>
            </w:pPr>
            <w:r>
              <w:rPr>
                <w:sz w:val="18"/>
                <w:szCs w:val="18"/>
              </w:rPr>
              <w:t>DSW 4</w:t>
            </w:r>
          </w:p>
        </w:tc>
        <w:tc>
          <w:tcPr>
            <w:tcW w:w="2009" w:type="pct"/>
            <w:noWrap/>
          </w:tcPr>
          <w:p w14:paraId="3A456F2C" w14:textId="77777777" w:rsidR="007075DE" w:rsidRPr="00294FA5" w:rsidRDefault="007075DE"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4.4</w:t>
            </w:r>
          </w:p>
        </w:tc>
        <w:tc>
          <w:tcPr>
            <w:tcW w:w="1500" w:type="pct"/>
          </w:tcPr>
          <w:p w14:paraId="14C6B564" w14:textId="77777777" w:rsidR="007075DE" w:rsidRPr="00294FA5" w:rsidRDefault="007075DE"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$38.34</w:t>
            </w:r>
          </w:p>
        </w:tc>
      </w:tr>
    </w:tbl>
    <w:p w14:paraId="20F8A811" w14:textId="77777777" w:rsidR="00F61CF7" w:rsidRDefault="00F61CF7" w:rsidP="00315545">
      <w:pPr>
        <w:pStyle w:val="Heading2"/>
      </w:pPr>
      <w:bookmarkStart w:id="15" w:name="_Toc46398737"/>
      <w:r>
        <w:t>Shift Loadings</w:t>
      </w:r>
      <w:bookmarkEnd w:id="15"/>
    </w:p>
    <w:p w14:paraId="7E5461F3" w14:textId="1AC4469E" w:rsidR="007751F4" w:rsidRDefault="001A1BE7" w:rsidP="00B658AF">
      <w:r>
        <w:fldChar w:fldCharType="begin"/>
      </w:r>
      <w:r>
        <w:instrText xml:space="preserve"> REF _Ref19024282 \h </w:instrText>
      </w:r>
      <w:r w:rsidR="00B658AF">
        <w:instrText xml:space="preserve"> \* MERGEFORMAT </w:instrText>
      </w:r>
      <w:r>
        <w:fldChar w:fldCharType="separate"/>
      </w:r>
      <w:r w:rsidR="003777EA" w:rsidRPr="00975FC4">
        <w:t xml:space="preserve">Table </w:t>
      </w:r>
      <w:r w:rsidR="003777EA">
        <w:rPr>
          <w:noProof/>
        </w:rPr>
        <w:t>2</w:t>
      </w:r>
      <w:r>
        <w:fldChar w:fldCharType="end"/>
      </w:r>
      <w:r>
        <w:t xml:space="preserve"> sets out the </w:t>
      </w:r>
      <w:r w:rsidR="00E27A53">
        <w:t>Cost Model</w:t>
      </w:r>
      <w:r>
        <w:t xml:space="preserve">’s assumptions with respect to shift loadings. These assumptions are </w:t>
      </w:r>
      <w:r w:rsidR="00E27A53">
        <w:t>based on</w:t>
      </w:r>
      <w:r>
        <w:t xml:space="preserve"> the SCHAD</w:t>
      </w:r>
      <w:r w:rsidR="00E41E33">
        <w:t>S</w:t>
      </w:r>
      <w:r>
        <w:t xml:space="preserve"> Award.</w:t>
      </w:r>
      <w:r w:rsidR="00C46EEB">
        <w:rPr>
          <w:rStyle w:val="FootnoteReference"/>
        </w:rPr>
        <w:footnoteReference w:id="8"/>
      </w:r>
      <w:r w:rsidR="00B658AF">
        <w:t xml:space="preserve"> </w:t>
      </w:r>
    </w:p>
    <w:p w14:paraId="063E95F3" w14:textId="27357E13" w:rsidR="00BB06ED" w:rsidRPr="00975FC4" w:rsidRDefault="00BB06ED" w:rsidP="00BB06ED">
      <w:pPr>
        <w:pStyle w:val="Caption"/>
      </w:pPr>
      <w:bookmarkStart w:id="16" w:name="_Ref19024282"/>
      <w:r w:rsidRPr="00975FC4">
        <w:t xml:space="preserve">Table </w:t>
      </w:r>
      <w:r w:rsidR="003777EA">
        <w:fldChar w:fldCharType="begin"/>
      </w:r>
      <w:r w:rsidR="003777EA">
        <w:instrText xml:space="preserve"> SEQ Table \* ARABIC </w:instrText>
      </w:r>
      <w:r w:rsidR="003777EA">
        <w:fldChar w:fldCharType="separate"/>
      </w:r>
      <w:r w:rsidR="003777EA">
        <w:rPr>
          <w:noProof/>
        </w:rPr>
        <w:t>2</w:t>
      </w:r>
      <w:r w:rsidR="003777EA">
        <w:rPr>
          <w:noProof/>
        </w:rPr>
        <w:fldChar w:fldCharType="end"/>
      </w:r>
      <w:bookmarkEnd w:id="16"/>
      <w:r w:rsidRPr="00975FC4">
        <w:t xml:space="preserve">: </w:t>
      </w:r>
      <w:bookmarkStart w:id="17" w:name="_Ref19024272"/>
      <w:r w:rsidR="00A52707">
        <w:t>Shift Loadings</w:t>
      </w:r>
      <w:bookmarkEnd w:id="17"/>
      <w:r w:rsidR="003133FF">
        <w:t>, 1 July 2020</w:t>
      </w:r>
    </w:p>
    <w:tbl>
      <w:tblPr>
        <w:tblStyle w:val="GridTable4-Accent4"/>
        <w:tblW w:w="5000" w:type="pct"/>
        <w:tblLook w:val="04A0" w:firstRow="1" w:lastRow="0" w:firstColumn="1" w:lastColumn="0" w:noHBand="0" w:noVBand="1"/>
        <w:tblDescription w:val="Table 2: Shift Loadings, 1 July 2020"/>
      </w:tblPr>
      <w:tblGrid>
        <w:gridCol w:w="3006"/>
        <w:gridCol w:w="3006"/>
        <w:gridCol w:w="3004"/>
      </w:tblGrid>
      <w:tr w:rsidR="000E200F" w:rsidRPr="003A3C03" w14:paraId="1804FAFA" w14:textId="77777777" w:rsidTr="00D70AFD">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1667" w:type="pct"/>
            <w:hideMark/>
          </w:tcPr>
          <w:p w14:paraId="2A0B49B2" w14:textId="77777777" w:rsidR="000E200F" w:rsidRPr="001A1BE7" w:rsidRDefault="000E200F" w:rsidP="00BB06ED">
            <w:pPr>
              <w:spacing w:before="40" w:after="40" w:line="240" w:lineRule="atLeast"/>
              <w:rPr>
                <w:rFonts w:ascii="Calibri" w:hAnsi="Calibri" w:cs="Calibri"/>
                <w:sz w:val="18"/>
                <w:szCs w:val="18"/>
              </w:rPr>
            </w:pPr>
            <w:r w:rsidRPr="001A1BE7">
              <w:rPr>
                <w:sz w:val="18"/>
                <w:szCs w:val="18"/>
              </w:rPr>
              <w:t>Shift</w:t>
            </w:r>
          </w:p>
        </w:tc>
        <w:tc>
          <w:tcPr>
            <w:tcW w:w="1667" w:type="pct"/>
            <w:hideMark/>
          </w:tcPr>
          <w:p w14:paraId="0E16F0E8" w14:textId="77777777" w:rsidR="000E200F" w:rsidRPr="001A1BE7" w:rsidRDefault="000E200F" w:rsidP="004E6680">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sz w:val="18"/>
                <w:szCs w:val="18"/>
              </w:rPr>
            </w:pPr>
            <w:r w:rsidRPr="001A1BE7">
              <w:rPr>
                <w:sz w:val="18"/>
                <w:szCs w:val="18"/>
              </w:rPr>
              <w:t xml:space="preserve"> Permanent Loading </w:t>
            </w:r>
          </w:p>
        </w:tc>
        <w:tc>
          <w:tcPr>
            <w:tcW w:w="1667" w:type="pct"/>
          </w:tcPr>
          <w:p w14:paraId="2124B373" w14:textId="77777777" w:rsidR="000E200F" w:rsidRPr="001A1BE7" w:rsidRDefault="000E200F" w:rsidP="004E6680">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b w:val="0"/>
                <w:bCs w:val="0"/>
                <w:sz w:val="18"/>
                <w:szCs w:val="18"/>
                <w:lang w:eastAsia="en-AU"/>
              </w:rPr>
            </w:pPr>
            <w:r w:rsidRPr="001A1BE7">
              <w:rPr>
                <w:sz w:val="18"/>
                <w:szCs w:val="18"/>
              </w:rPr>
              <w:t xml:space="preserve">Casual Loading </w:t>
            </w:r>
          </w:p>
        </w:tc>
      </w:tr>
      <w:tr w:rsidR="000E200F" w14:paraId="5DAA8116" w14:textId="77777777" w:rsidTr="000E20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121D0524" w14:textId="77777777" w:rsidR="000E200F" w:rsidRPr="001A1BE7" w:rsidRDefault="000E200F" w:rsidP="00BB06ED">
            <w:pPr>
              <w:spacing w:before="40" w:after="40" w:line="240" w:lineRule="atLeast"/>
              <w:rPr>
                <w:sz w:val="18"/>
                <w:szCs w:val="18"/>
              </w:rPr>
            </w:pPr>
            <w:r w:rsidRPr="001A1BE7">
              <w:rPr>
                <w:sz w:val="18"/>
                <w:szCs w:val="18"/>
              </w:rPr>
              <w:t>Weekday</w:t>
            </w:r>
          </w:p>
        </w:tc>
        <w:tc>
          <w:tcPr>
            <w:tcW w:w="1667" w:type="pct"/>
            <w:noWrap/>
            <w:hideMark/>
          </w:tcPr>
          <w:p w14:paraId="7E5AF204" w14:textId="77777777" w:rsidR="000E200F" w:rsidRPr="001A1BE7" w:rsidRDefault="000E200F" w:rsidP="004E6680">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sz w:val="18"/>
                <w:szCs w:val="18"/>
              </w:rPr>
            </w:pPr>
            <w:r w:rsidRPr="001A1BE7">
              <w:rPr>
                <w:sz w:val="18"/>
                <w:szCs w:val="18"/>
              </w:rPr>
              <w:t>0.0%</w:t>
            </w:r>
          </w:p>
        </w:tc>
        <w:tc>
          <w:tcPr>
            <w:tcW w:w="1667" w:type="pct"/>
          </w:tcPr>
          <w:p w14:paraId="02038FA6" w14:textId="77777777" w:rsidR="000E200F" w:rsidRPr="001A1BE7" w:rsidRDefault="000E200F" w:rsidP="004E6680">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bCs/>
                <w:color w:val="000000"/>
                <w:sz w:val="18"/>
                <w:szCs w:val="18"/>
                <w:lang w:eastAsia="en-AU"/>
              </w:rPr>
            </w:pPr>
            <w:r w:rsidRPr="001A1BE7">
              <w:rPr>
                <w:sz w:val="18"/>
                <w:szCs w:val="18"/>
              </w:rPr>
              <w:t>25.0%</w:t>
            </w:r>
          </w:p>
        </w:tc>
      </w:tr>
      <w:tr w:rsidR="000E200F" w14:paraId="7877DC5E" w14:textId="77777777" w:rsidTr="000E200F">
        <w:trPr>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71270228" w14:textId="77777777" w:rsidR="000E200F" w:rsidRPr="001A1BE7" w:rsidRDefault="000E200F" w:rsidP="00BB06ED">
            <w:pPr>
              <w:spacing w:before="40" w:after="40" w:line="240" w:lineRule="atLeast"/>
              <w:rPr>
                <w:sz w:val="18"/>
                <w:szCs w:val="18"/>
              </w:rPr>
            </w:pPr>
            <w:r w:rsidRPr="001A1BE7">
              <w:rPr>
                <w:sz w:val="18"/>
                <w:szCs w:val="18"/>
              </w:rPr>
              <w:t>Saturday</w:t>
            </w:r>
          </w:p>
        </w:tc>
        <w:tc>
          <w:tcPr>
            <w:tcW w:w="1667" w:type="pct"/>
            <w:noWrap/>
            <w:hideMark/>
          </w:tcPr>
          <w:p w14:paraId="008AAF39" w14:textId="77777777" w:rsidR="000E200F" w:rsidRPr="001A1BE7" w:rsidRDefault="000E200F" w:rsidP="004E6680">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sz w:val="18"/>
                <w:szCs w:val="18"/>
              </w:rPr>
            </w:pPr>
            <w:r w:rsidRPr="001A1BE7">
              <w:rPr>
                <w:sz w:val="18"/>
                <w:szCs w:val="18"/>
              </w:rPr>
              <w:t>50.0%</w:t>
            </w:r>
          </w:p>
        </w:tc>
        <w:tc>
          <w:tcPr>
            <w:tcW w:w="1667" w:type="pct"/>
          </w:tcPr>
          <w:p w14:paraId="6370C664" w14:textId="77777777" w:rsidR="000E200F" w:rsidRPr="001A1BE7" w:rsidRDefault="003133FF" w:rsidP="004E6680">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bCs/>
                <w:color w:val="000000"/>
                <w:sz w:val="18"/>
                <w:szCs w:val="18"/>
                <w:lang w:eastAsia="en-AU"/>
              </w:rPr>
            </w:pPr>
            <w:r>
              <w:rPr>
                <w:sz w:val="18"/>
                <w:szCs w:val="18"/>
              </w:rPr>
              <w:t>75</w:t>
            </w:r>
            <w:r w:rsidR="000E200F" w:rsidRPr="001A1BE7">
              <w:rPr>
                <w:sz w:val="18"/>
                <w:szCs w:val="18"/>
              </w:rPr>
              <w:t>.0%</w:t>
            </w:r>
          </w:p>
        </w:tc>
      </w:tr>
      <w:tr w:rsidR="000E200F" w14:paraId="7F0141CA" w14:textId="77777777" w:rsidTr="000E20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hideMark/>
          </w:tcPr>
          <w:p w14:paraId="294DF8FD" w14:textId="77777777" w:rsidR="000E200F" w:rsidRPr="001A1BE7" w:rsidRDefault="000E200F" w:rsidP="00BB06ED">
            <w:pPr>
              <w:spacing w:before="40" w:after="40" w:line="240" w:lineRule="atLeast"/>
              <w:rPr>
                <w:sz w:val="18"/>
                <w:szCs w:val="18"/>
              </w:rPr>
            </w:pPr>
            <w:r w:rsidRPr="001A1BE7">
              <w:rPr>
                <w:sz w:val="18"/>
                <w:szCs w:val="18"/>
              </w:rPr>
              <w:t>Sunday</w:t>
            </w:r>
          </w:p>
        </w:tc>
        <w:tc>
          <w:tcPr>
            <w:tcW w:w="1667" w:type="pct"/>
            <w:noWrap/>
            <w:hideMark/>
          </w:tcPr>
          <w:p w14:paraId="2F55B8AF" w14:textId="77777777" w:rsidR="000E200F" w:rsidRPr="001A1BE7" w:rsidRDefault="000E200F" w:rsidP="004E6680">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sz w:val="18"/>
                <w:szCs w:val="18"/>
              </w:rPr>
            </w:pPr>
            <w:r w:rsidRPr="001A1BE7">
              <w:rPr>
                <w:sz w:val="18"/>
                <w:szCs w:val="18"/>
              </w:rPr>
              <w:t>100.0%</w:t>
            </w:r>
          </w:p>
        </w:tc>
        <w:tc>
          <w:tcPr>
            <w:tcW w:w="1667" w:type="pct"/>
          </w:tcPr>
          <w:p w14:paraId="069AE2F3" w14:textId="77777777" w:rsidR="000E200F" w:rsidRPr="001A1BE7" w:rsidRDefault="003133FF" w:rsidP="004E6680">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bCs/>
                <w:color w:val="000000"/>
                <w:sz w:val="18"/>
                <w:szCs w:val="18"/>
                <w:lang w:eastAsia="en-AU"/>
              </w:rPr>
            </w:pPr>
            <w:r>
              <w:rPr>
                <w:sz w:val="18"/>
                <w:szCs w:val="18"/>
              </w:rPr>
              <w:t>125</w:t>
            </w:r>
            <w:r w:rsidR="000E200F" w:rsidRPr="001A1BE7">
              <w:rPr>
                <w:sz w:val="18"/>
                <w:szCs w:val="18"/>
              </w:rPr>
              <w:t>.0%</w:t>
            </w:r>
          </w:p>
        </w:tc>
      </w:tr>
      <w:tr w:rsidR="000E200F" w14:paraId="36951595" w14:textId="77777777" w:rsidTr="000E200F">
        <w:trPr>
          <w:trHeight w:val="300"/>
        </w:trPr>
        <w:tc>
          <w:tcPr>
            <w:cnfStyle w:val="001000000000" w:firstRow="0" w:lastRow="0" w:firstColumn="1" w:lastColumn="0" w:oddVBand="0" w:evenVBand="0" w:oddHBand="0" w:evenHBand="0" w:firstRowFirstColumn="0" w:firstRowLastColumn="0" w:lastRowFirstColumn="0" w:lastRowLastColumn="0"/>
            <w:tcW w:w="1667" w:type="pct"/>
          </w:tcPr>
          <w:p w14:paraId="6E45E774" w14:textId="77777777" w:rsidR="000E200F" w:rsidRPr="001A1BE7" w:rsidRDefault="000E200F" w:rsidP="00BB06ED">
            <w:pPr>
              <w:spacing w:before="40" w:after="40" w:line="240" w:lineRule="atLeast"/>
              <w:rPr>
                <w:sz w:val="18"/>
                <w:szCs w:val="18"/>
              </w:rPr>
            </w:pPr>
            <w:r w:rsidRPr="001A1BE7">
              <w:rPr>
                <w:sz w:val="18"/>
                <w:szCs w:val="18"/>
              </w:rPr>
              <w:t>Public Holiday</w:t>
            </w:r>
          </w:p>
        </w:tc>
        <w:tc>
          <w:tcPr>
            <w:tcW w:w="1667" w:type="pct"/>
            <w:noWrap/>
          </w:tcPr>
          <w:p w14:paraId="0ACD3DC3" w14:textId="77777777" w:rsidR="000E200F" w:rsidRPr="001A1BE7" w:rsidRDefault="000E200F" w:rsidP="004E6680">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sz w:val="18"/>
                <w:szCs w:val="18"/>
              </w:rPr>
            </w:pPr>
            <w:r w:rsidRPr="001A1BE7">
              <w:rPr>
                <w:sz w:val="18"/>
                <w:szCs w:val="18"/>
              </w:rPr>
              <w:t>150.0%</w:t>
            </w:r>
          </w:p>
        </w:tc>
        <w:tc>
          <w:tcPr>
            <w:tcW w:w="1667" w:type="pct"/>
          </w:tcPr>
          <w:p w14:paraId="7EC7159D" w14:textId="77777777" w:rsidR="000E200F" w:rsidRPr="001A1BE7" w:rsidRDefault="000E200F" w:rsidP="004E6680">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sz w:val="18"/>
                <w:szCs w:val="18"/>
              </w:rPr>
            </w:pPr>
            <w:r w:rsidRPr="001A1BE7">
              <w:rPr>
                <w:sz w:val="18"/>
                <w:szCs w:val="18"/>
              </w:rPr>
              <w:t>175.0%</w:t>
            </w:r>
          </w:p>
        </w:tc>
      </w:tr>
      <w:tr w:rsidR="000E200F" w14:paraId="2591D907" w14:textId="77777777" w:rsidTr="000E20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tcPr>
          <w:p w14:paraId="1069BE30" w14:textId="77777777" w:rsidR="000E200F" w:rsidRPr="001A1BE7" w:rsidRDefault="000E200F" w:rsidP="00455363">
            <w:pPr>
              <w:spacing w:before="40" w:after="40" w:line="240" w:lineRule="atLeast"/>
              <w:rPr>
                <w:sz w:val="18"/>
                <w:szCs w:val="18"/>
              </w:rPr>
            </w:pPr>
            <w:r>
              <w:rPr>
                <w:sz w:val="18"/>
                <w:szCs w:val="18"/>
              </w:rPr>
              <w:t>Evening</w:t>
            </w:r>
            <w:r w:rsidRPr="001A1BE7">
              <w:rPr>
                <w:sz w:val="18"/>
                <w:szCs w:val="18"/>
              </w:rPr>
              <w:t xml:space="preserve"> Shift</w:t>
            </w:r>
          </w:p>
        </w:tc>
        <w:tc>
          <w:tcPr>
            <w:tcW w:w="1667" w:type="pct"/>
            <w:noWrap/>
          </w:tcPr>
          <w:p w14:paraId="43B1EEBC" w14:textId="77777777" w:rsidR="000E200F" w:rsidRPr="001A1BE7" w:rsidRDefault="000E200F" w:rsidP="004E6680">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sz w:val="18"/>
                <w:szCs w:val="18"/>
              </w:rPr>
            </w:pPr>
            <w:r w:rsidRPr="001A1BE7">
              <w:rPr>
                <w:sz w:val="18"/>
                <w:szCs w:val="18"/>
              </w:rPr>
              <w:t>12.5%</w:t>
            </w:r>
          </w:p>
        </w:tc>
        <w:tc>
          <w:tcPr>
            <w:tcW w:w="1667" w:type="pct"/>
          </w:tcPr>
          <w:p w14:paraId="1C207E16" w14:textId="77777777" w:rsidR="000E200F" w:rsidRPr="001A1BE7" w:rsidRDefault="000E200F" w:rsidP="004E6680">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sz w:val="18"/>
                <w:szCs w:val="18"/>
              </w:rPr>
            </w:pPr>
            <w:r w:rsidRPr="001A1BE7">
              <w:rPr>
                <w:sz w:val="18"/>
                <w:szCs w:val="18"/>
              </w:rPr>
              <w:t>37.5%</w:t>
            </w:r>
          </w:p>
        </w:tc>
      </w:tr>
      <w:tr w:rsidR="000E200F" w14:paraId="5FC560F9" w14:textId="77777777" w:rsidTr="000E200F">
        <w:trPr>
          <w:trHeight w:val="300"/>
        </w:trPr>
        <w:tc>
          <w:tcPr>
            <w:cnfStyle w:val="001000000000" w:firstRow="0" w:lastRow="0" w:firstColumn="1" w:lastColumn="0" w:oddVBand="0" w:evenVBand="0" w:oddHBand="0" w:evenHBand="0" w:firstRowFirstColumn="0" w:firstRowLastColumn="0" w:lastRowFirstColumn="0" w:lastRowLastColumn="0"/>
            <w:tcW w:w="1667" w:type="pct"/>
          </w:tcPr>
          <w:p w14:paraId="673F9C82" w14:textId="77777777" w:rsidR="000E200F" w:rsidRPr="001A1BE7" w:rsidRDefault="000E200F" w:rsidP="00BB06ED">
            <w:pPr>
              <w:spacing w:before="40" w:after="40" w:line="240" w:lineRule="atLeast"/>
              <w:rPr>
                <w:sz w:val="18"/>
                <w:szCs w:val="18"/>
              </w:rPr>
            </w:pPr>
            <w:r w:rsidRPr="001A1BE7">
              <w:rPr>
                <w:sz w:val="18"/>
                <w:szCs w:val="18"/>
              </w:rPr>
              <w:t>Night Shift</w:t>
            </w:r>
          </w:p>
        </w:tc>
        <w:tc>
          <w:tcPr>
            <w:tcW w:w="1667" w:type="pct"/>
            <w:noWrap/>
          </w:tcPr>
          <w:p w14:paraId="0E64258F" w14:textId="77777777" w:rsidR="000E200F" w:rsidRPr="001A1BE7" w:rsidRDefault="000E200F" w:rsidP="004E6680">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sz w:val="18"/>
                <w:szCs w:val="18"/>
              </w:rPr>
            </w:pPr>
            <w:r w:rsidRPr="001A1BE7">
              <w:rPr>
                <w:sz w:val="18"/>
                <w:szCs w:val="18"/>
              </w:rPr>
              <w:t>15.0%</w:t>
            </w:r>
          </w:p>
        </w:tc>
        <w:tc>
          <w:tcPr>
            <w:tcW w:w="1667" w:type="pct"/>
          </w:tcPr>
          <w:p w14:paraId="33019BDE" w14:textId="77777777" w:rsidR="000E200F" w:rsidRPr="001A1BE7" w:rsidRDefault="000E200F" w:rsidP="004E6680">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sz w:val="18"/>
                <w:szCs w:val="18"/>
              </w:rPr>
            </w:pPr>
            <w:r w:rsidRPr="001A1BE7">
              <w:rPr>
                <w:sz w:val="18"/>
                <w:szCs w:val="18"/>
              </w:rPr>
              <w:t>40.0%</w:t>
            </w:r>
          </w:p>
        </w:tc>
      </w:tr>
    </w:tbl>
    <w:p w14:paraId="32261BAE" w14:textId="77777777" w:rsidR="00B227D9" w:rsidRDefault="007751F4" w:rsidP="00315545">
      <w:pPr>
        <w:pStyle w:val="Heading2"/>
      </w:pPr>
      <w:bookmarkStart w:id="18" w:name="_Toc46398738"/>
      <w:r>
        <w:t>Days W</w:t>
      </w:r>
      <w:r w:rsidR="001A1BE7">
        <w:t>orked V</w:t>
      </w:r>
      <w:r w:rsidR="00A52707">
        <w:t>ersu</w:t>
      </w:r>
      <w:r w:rsidR="001A1BE7">
        <w:t>s Days P</w:t>
      </w:r>
      <w:r w:rsidR="00B227D9">
        <w:t>aid</w:t>
      </w:r>
      <w:bookmarkEnd w:id="18"/>
    </w:p>
    <w:p w14:paraId="7B00B946" w14:textId="77777777" w:rsidR="00A52707" w:rsidRDefault="001A1BE7" w:rsidP="00A52707">
      <w:r>
        <w:t xml:space="preserve">The </w:t>
      </w:r>
      <w:r w:rsidR="00E27A53">
        <w:t>Cost Model</w:t>
      </w:r>
      <w:r>
        <w:t xml:space="preserve"> recognises that </w:t>
      </w:r>
      <w:r w:rsidR="003133FF">
        <w:t xml:space="preserve">under the SCHADS Award </w:t>
      </w:r>
      <w:r>
        <w:t>a permanent worker</w:t>
      </w:r>
      <w:r w:rsidR="003133FF">
        <w:t>’s ordinary hours of work will be 38 hours per week</w:t>
      </w:r>
      <w:r w:rsidR="003133FF">
        <w:rPr>
          <w:rStyle w:val="FootnoteReference"/>
        </w:rPr>
        <w:footnoteReference w:id="9"/>
      </w:r>
      <w:r w:rsidR="003133FF">
        <w:t>, and that they will be available to work</w:t>
      </w:r>
      <w:r>
        <w:t xml:space="preserve"> on 220 days a year</w:t>
      </w:r>
      <w:r w:rsidR="003133FF">
        <w:t>,</w:t>
      </w:r>
      <w:r w:rsidR="000E200F">
        <w:t xml:space="preserve"> because</w:t>
      </w:r>
      <w:r w:rsidR="002C16A4">
        <w:t xml:space="preserve"> under the National Employment Standards</w:t>
      </w:r>
      <w:r w:rsidR="002C16A4">
        <w:rPr>
          <w:rStyle w:val="FootnoteReference"/>
        </w:rPr>
        <w:footnoteReference w:id="10"/>
      </w:r>
      <w:r w:rsidR="002C16A4">
        <w:t xml:space="preserve"> </w:t>
      </w:r>
      <w:r w:rsidR="000E200F">
        <w:t xml:space="preserve">they </w:t>
      </w:r>
      <w:r w:rsidR="002C16A4">
        <w:t>must be</w:t>
      </w:r>
      <w:r>
        <w:t xml:space="preserve"> paid for:</w:t>
      </w:r>
    </w:p>
    <w:p w14:paraId="65D0B52D" w14:textId="77777777" w:rsidR="0036394E" w:rsidRDefault="00A52707" w:rsidP="007751F4">
      <w:pPr>
        <w:pStyle w:val="ListParagraph"/>
        <w:numPr>
          <w:ilvl w:val="0"/>
          <w:numId w:val="12"/>
        </w:numPr>
      </w:pPr>
      <w:r>
        <w:t>20 days of annual leave</w:t>
      </w:r>
      <w:r w:rsidR="006946B1">
        <w:t>;</w:t>
      </w:r>
      <w:r w:rsidR="0036394E">
        <w:rPr>
          <w:rStyle w:val="FootnoteReference"/>
        </w:rPr>
        <w:footnoteReference w:id="11"/>
      </w:r>
    </w:p>
    <w:p w14:paraId="12C37E34" w14:textId="77777777" w:rsidR="00A52707" w:rsidRDefault="007751F4" w:rsidP="007751F4">
      <w:pPr>
        <w:pStyle w:val="ListParagraph"/>
        <w:numPr>
          <w:ilvl w:val="0"/>
          <w:numId w:val="12"/>
        </w:numPr>
      </w:pPr>
      <w:r>
        <w:t>10 days of public holidays</w:t>
      </w:r>
      <w:r w:rsidR="006946B1">
        <w:t>;</w:t>
      </w:r>
      <w:r w:rsidR="00B46AE1">
        <w:rPr>
          <w:rStyle w:val="FootnoteReference"/>
        </w:rPr>
        <w:footnoteReference w:id="12"/>
      </w:r>
      <w:r w:rsidR="00430082">
        <w:t xml:space="preserve"> and</w:t>
      </w:r>
    </w:p>
    <w:p w14:paraId="70CD5838" w14:textId="77777777" w:rsidR="003C3A52" w:rsidRDefault="001A1BE7" w:rsidP="003C3A52">
      <w:pPr>
        <w:pStyle w:val="ListParagraph"/>
        <w:numPr>
          <w:ilvl w:val="0"/>
          <w:numId w:val="13"/>
        </w:numPr>
      </w:pPr>
      <w:r>
        <w:t xml:space="preserve">Up to </w:t>
      </w:r>
      <w:r w:rsidR="00A52707">
        <w:t>10 days of personal leave</w:t>
      </w:r>
      <w:r w:rsidR="00430082">
        <w:t>.</w:t>
      </w:r>
      <w:r w:rsidR="00B37370">
        <w:rPr>
          <w:rStyle w:val="FootnoteReference"/>
        </w:rPr>
        <w:footnoteReference w:id="13"/>
      </w:r>
    </w:p>
    <w:p w14:paraId="10BE598D" w14:textId="77777777" w:rsidR="000E200F" w:rsidRDefault="003133FF" w:rsidP="000E200F">
      <w:r>
        <w:t xml:space="preserve">The Cost Model recognises that providers need to accrue the revenue to meet the costs of </w:t>
      </w:r>
      <w:r w:rsidR="00430082">
        <w:t>these</w:t>
      </w:r>
      <w:r w:rsidR="000E200F">
        <w:t xml:space="preserve"> leave </w:t>
      </w:r>
      <w:r>
        <w:t>accruals during the billable hours of the DSW.</w:t>
      </w:r>
    </w:p>
    <w:p w14:paraId="717E3DC7" w14:textId="77777777" w:rsidR="001A1BE7" w:rsidRDefault="003133FF" w:rsidP="003133FF">
      <w:r>
        <w:t xml:space="preserve">The Cost Model also recognises that workers accrue Long Service Leave entitlements when they work and that again providers need to accrue the revenue to meet the costs of this leave accrual during the billable hours of the DSW. The Cost Model assumes that workers accrue </w:t>
      </w:r>
      <w:r w:rsidR="00A52707">
        <w:t>4</w:t>
      </w:r>
      <w:r w:rsidR="00A52707" w:rsidRPr="003C3A52">
        <w:rPr>
          <w:rFonts w:cstheme="minorHAnsi"/>
        </w:rPr>
        <w:t>⅓</w:t>
      </w:r>
      <w:r w:rsidR="00A52707">
        <w:t xml:space="preserve"> days of long service leave</w:t>
      </w:r>
      <w:r w:rsidR="00430082">
        <w:t xml:space="preserve"> each year.</w:t>
      </w:r>
      <w:r w:rsidR="00B46AE1" w:rsidRPr="00CD53B0">
        <w:rPr>
          <w:rStyle w:val="FootnoteReference"/>
          <w:rFonts w:cstheme="minorHAnsi"/>
        </w:rPr>
        <w:footnoteReference w:id="14"/>
      </w:r>
    </w:p>
    <w:p w14:paraId="1314E70B" w14:textId="77777777" w:rsidR="0036394E" w:rsidRPr="0036394E" w:rsidRDefault="0036394E" w:rsidP="003133FF">
      <w:pPr>
        <w:rPr>
          <w:rFonts w:cstheme="minorHAnsi"/>
          <w:bCs/>
          <w:sz w:val="18"/>
          <w:szCs w:val="18"/>
        </w:rPr>
      </w:pPr>
      <w:r>
        <w:t>In line with SCHADS Award, the Cost Model also provides a 17.5% loading for annual leave to compensate workers for the shifts they would have otherwise taken.</w:t>
      </w:r>
      <w:r>
        <w:rPr>
          <w:rStyle w:val="FootnoteReference"/>
        </w:rPr>
        <w:footnoteReference w:id="15"/>
      </w:r>
    </w:p>
    <w:p w14:paraId="23F04C44" w14:textId="58188637" w:rsidR="00436E11" w:rsidRPr="00975FC4" w:rsidRDefault="00436E11" w:rsidP="00773F6C">
      <w:pPr>
        <w:pStyle w:val="Caption"/>
        <w:keepNext w:val="0"/>
      </w:pPr>
      <w:bookmarkStart w:id="19" w:name="_Ref19024580"/>
      <w:r w:rsidRPr="00975FC4">
        <w:t xml:space="preserve">Table </w:t>
      </w:r>
      <w:r w:rsidR="003777EA">
        <w:fldChar w:fldCharType="begin"/>
      </w:r>
      <w:r w:rsidR="003777EA">
        <w:instrText xml:space="preserve"> SEQ Table \* ARABIC </w:instrText>
      </w:r>
      <w:r w:rsidR="003777EA">
        <w:fldChar w:fldCharType="separate"/>
      </w:r>
      <w:r w:rsidR="003777EA">
        <w:rPr>
          <w:noProof/>
        </w:rPr>
        <w:t>3</w:t>
      </w:r>
      <w:r w:rsidR="003777EA">
        <w:rPr>
          <w:noProof/>
        </w:rPr>
        <w:fldChar w:fldCharType="end"/>
      </w:r>
      <w:bookmarkEnd w:id="19"/>
      <w:r w:rsidRPr="00975FC4">
        <w:t xml:space="preserve">: </w:t>
      </w:r>
      <w:r w:rsidR="00216517">
        <w:t>Impact of L</w:t>
      </w:r>
      <w:r>
        <w:t xml:space="preserve">eave on </w:t>
      </w:r>
      <w:r w:rsidR="00216517">
        <w:t xml:space="preserve">the Cost per </w:t>
      </w:r>
      <w:r w:rsidR="0086773C">
        <w:t>Worked</w:t>
      </w:r>
      <w:r w:rsidR="00216517">
        <w:t xml:space="preserve"> Hour of a Permanent DSW</w:t>
      </w:r>
    </w:p>
    <w:tbl>
      <w:tblPr>
        <w:tblStyle w:val="GridTable4-Accent4"/>
        <w:tblW w:w="5000" w:type="pct"/>
        <w:tblLook w:val="04A0" w:firstRow="1" w:lastRow="0" w:firstColumn="1" w:lastColumn="0" w:noHBand="0" w:noVBand="1"/>
        <w:tblDescription w:val="Table 3: Impact of Leave on the Cost per Worked Hour of a Permanent DSW"/>
      </w:tblPr>
      <w:tblGrid>
        <w:gridCol w:w="4956"/>
        <w:gridCol w:w="994"/>
        <w:gridCol w:w="992"/>
        <w:gridCol w:w="992"/>
        <w:gridCol w:w="1082"/>
      </w:tblGrid>
      <w:tr w:rsidR="00975BC5" w:rsidRPr="003A3C03" w14:paraId="65371846" w14:textId="77777777" w:rsidTr="00D70AFD">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749" w:type="pct"/>
            <w:hideMark/>
          </w:tcPr>
          <w:p w14:paraId="54AA9A2E" w14:textId="77777777" w:rsidR="00975BC5" w:rsidRPr="001A1BE7" w:rsidRDefault="00975BC5" w:rsidP="00773F6C">
            <w:pPr>
              <w:spacing w:before="40" w:after="40" w:line="240" w:lineRule="atLeast"/>
              <w:rPr>
                <w:rFonts w:cstheme="minorHAnsi"/>
                <w:sz w:val="18"/>
                <w:szCs w:val="18"/>
              </w:rPr>
            </w:pPr>
          </w:p>
        </w:tc>
        <w:tc>
          <w:tcPr>
            <w:tcW w:w="551" w:type="pct"/>
            <w:hideMark/>
          </w:tcPr>
          <w:p w14:paraId="2FE9A982" w14:textId="77777777" w:rsidR="00975BC5" w:rsidRPr="001A1BE7" w:rsidRDefault="00975BC5" w:rsidP="00773F6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w:t>
            </w:r>
            <w:r w:rsidR="00996565">
              <w:rPr>
                <w:rFonts w:cstheme="minorHAnsi"/>
                <w:sz w:val="18"/>
                <w:szCs w:val="18"/>
              </w:rPr>
              <w:t xml:space="preserve"> 1</w:t>
            </w:r>
          </w:p>
        </w:tc>
        <w:tc>
          <w:tcPr>
            <w:tcW w:w="550" w:type="pct"/>
          </w:tcPr>
          <w:p w14:paraId="3218AF0D" w14:textId="77777777" w:rsidR="00975BC5" w:rsidRPr="001A1BE7" w:rsidRDefault="00975BC5" w:rsidP="00773F6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Pr>
                <w:rFonts w:cstheme="minorHAnsi"/>
                <w:sz w:val="18"/>
                <w:szCs w:val="18"/>
              </w:rPr>
              <w:t>DSW</w:t>
            </w:r>
            <w:r w:rsidR="00996565">
              <w:rPr>
                <w:rFonts w:cstheme="minorHAnsi"/>
                <w:sz w:val="18"/>
                <w:szCs w:val="18"/>
              </w:rPr>
              <w:t xml:space="preserve"> 2</w:t>
            </w:r>
          </w:p>
        </w:tc>
        <w:tc>
          <w:tcPr>
            <w:tcW w:w="550" w:type="pct"/>
          </w:tcPr>
          <w:p w14:paraId="780062DB" w14:textId="77777777" w:rsidR="00975BC5" w:rsidRPr="001A1BE7" w:rsidRDefault="00975BC5" w:rsidP="00773F6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w:t>
            </w:r>
            <w:r w:rsidR="00996565">
              <w:rPr>
                <w:rFonts w:cstheme="minorHAnsi"/>
                <w:sz w:val="18"/>
                <w:szCs w:val="18"/>
              </w:rPr>
              <w:t xml:space="preserve"> 3</w:t>
            </w:r>
          </w:p>
        </w:tc>
        <w:tc>
          <w:tcPr>
            <w:tcW w:w="600" w:type="pct"/>
          </w:tcPr>
          <w:p w14:paraId="41DD634B" w14:textId="77777777" w:rsidR="00975BC5" w:rsidRDefault="00975BC5" w:rsidP="00773F6C">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w:t>
            </w:r>
            <w:r w:rsidR="00996565">
              <w:rPr>
                <w:rFonts w:cstheme="minorHAnsi"/>
                <w:sz w:val="18"/>
                <w:szCs w:val="18"/>
              </w:rPr>
              <w:t xml:space="preserve"> 4</w:t>
            </w:r>
          </w:p>
        </w:tc>
      </w:tr>
      <w:tr w:rsidR="00975BC5" w14:paraId="06195D67" w14:textId="77777777" w:rsidTr="00D70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9" w:type="pct"/>
            <w:hideMark/>
          </w:tcPr>
          <w:p w14:paraId="0DAB2214" w14:textId="77777777" w:rsidR="00975BC5" w:rsidRPr="001A1BE7" w:rsidRDefault="00975BC5" w:rsidP="00773F6C">
            <w:pPr>
              <w:spacing w:before="40" w:after="40" w:line="240" w:lineRule="atLeast"/>
              <w:rPr>
                <w:rFonts w:cstheme="minorHAnsi"/>
                <w:sz w:val="18"/>
                <w:szCs w:val="18"/>
              </w:rPr>
            </w:pPr>
            <w:r w:rsidRPr="001A1BE7">
              <w:rPr>
                <w:rFonts w:cstheme="minorHAnsi"/>
                <w:sz w:val="18"/>
                <w:szCs w:val="18"/>
              </w:rPr>
              <w:t>Standard Hourly Rate</w:t>
            </w:r>
          </w:p>
        </w:tc>
        <w:tc>
          <w:tcPr>
            <w:tcW w:w="551" w:type="pct"/>
            <w:noWrap/>
            <w:hideMark/>
          </w:tcPr>
          <w:p w14:paraId="79471B46"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1A1BE7">
              <w:rPr>
                <w:rFonts w:cstheme="minorHAnsi"/>
                <w:b/>
                <w:sz w:val="18"/>
                <w:szCs w:val="18"/>
              </w:rPr>
              <w:t>$</w:t>
            </w:r>
            <w:r>
              <w:rPr>
                <w:rFonts w:cstheme="minorHAnsi"/>
                <w:b/>
                <w:sz w:val="18"/>
                <w:szCs w:val="18"/>
              </w:rPr>
              <w:t>29.56</w:t>
            </w:r>
          </w:p>
        </w:tc>
        <w:tc>
          <w:tcPr>
            <w:tcW w:w="550" w:type="pct"/>
          </w:tcPr>
          <w:p w14:paraId="37EE4D9B"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lang w:eastAsia="en-AU"/>
              </w:rPr>
            </w:pPr>
            <w:r w:rsidRPr="001A1BE7">
              <w:rPr>
                <w:rFonts w:cstheme="minorHAnsi"/>
                <w:b/>
                <w:sz w:val="18"/>
                <w:szCs w:val="18"/>
              </w:rPr>
              <w:t xml:space="preserve"> $</w:t>
            </w:r>
            <w:r>
              <w:rPr>
                <w:rFonts w:cstheme="minorHAnsi"/>
                <w:b/>
                <w:sz w:val="18"/>
                <w:szCs w:val="18"/>
              </w:rPr>
              <w:t>30.69</w:t>
            </w:r>
            <w:r w:rsidRPr="001A1BE7">
              <w:rPr>
                <w:rFonts w:cstheme="minorHAnsi"/>
                <w:b/>
                <w:sz w:val="18"/>
                <w:szCs w:val="18"/>
              </w:rPr>
              <w:t xml:space="preserve"> </w:t>
            </w:r>
          </w:p>
        </w:tc>
        <w:tc>
          <w:tcPr>
            <w:tcW w:w="550" w:type="pct"/>
          </w:tcPr>
          <w:p w14:paraId="4C2412D7"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$31.92</w:t>
            </w:r>
          </w:p>
        </w:tc>
        <w:tc>
          <w:tcPr>
            <w:tcW w:w="600" w:type="pct"/>
          </w:tcPr>
          <w:p w14:paraId="1EF3B2A6" w14:textId="77777777" w:rsidR="00975BC5"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$38.34</w:t>
            </w:r>
          </w:p>
        </w:tc>
      </w:tr>
      <w:tr w:rsidR="00975BC5" w14:paraId="239951F6" w14:textId="77777777" w:rsidTr="00D70AFD">
        <w:trPr>
          <w:trHeight w:val="300"/>
        </w:trPr>
        <w:tc>
          <w:tcPr>
            <w:cnfStyle w:val="001000000000" w:firstRow="0" w:lastRow="0" w:firstColumn="1" w:lastColumn="0" w:oddVBand="0" w:evenVBand="0" w:oddHBand="0" w:evenHBand="0" w:firstRowFirstColumn="0" w:firstRowLastColumn="0" w:lastRowFirstColumn="0" w:lastRowLastColumn="0"/>
            <w:tcW w:w="2749" w:type="pct"/>
            <w:hideMark/>
          </w:tcPr>
          <w:p w14:paraId="1620FCC1" w14:textId="77777777" w:rsidR="00975BC5" w:rsidRPr="001A1BE7" w:rsidRDefault="00975BC5" w:rsidP="00773F6C">
            <w:pPr>
              <w:spacing w:before="40" w:after="40" w:line="240" w:lineRule="atLeast"/>
              <w:rPr>
                <w:rFonts w:cstheme="minorHAnsi"/>
                <w:sz w:val="18"/>
                <w:szCs w:val="18"/>
              </w:rPr>
            </w:pPr>
            <w:r w:rsidRPr="001A1BE7">
              <w:rPr>
                <w:rFonts w:cstheme="minorHAnsi"/>
                <w:sz w:val="18"/>
                <w:szCs w:val="18"/>
              </w:rPr>
              <w:t>A</w:t>
            </w:r>
            <w:r>
              <w:rPr>
                <w:rFonts w:cstheme="minorHAnsi"/>
                <w:sz w:val="18"/>
                <w:szCs w:val="18"/>
              </w:rPr>
              <w:t>llowance for Annual leave</w:t>
            </w:r>
          </w:p>
        </w:tc>
        <w:tc>
          <w:tcPr>
            <w:tcW w:w="551" w:type="pct"/>
            <w:noWrap/>
            <w:hideMark/>
          </w:tcPr>
          <w:p w14:paraId="0A8D44C5"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tcPr>
          <w:p w14:paraId="6893E612"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18"/>
                <w:szCs w:val="18"/>
                <w:lang w:eastAsia="en-AU"/>
              </w:rPr>
            </w:pPr>
          </w:p>
        </w:tc>
        <w:tc>
          <w:tcPr>
            <w:tcW w:w="550" w:type="pct"/>
          </w:tcPr>
          <w:p w14:paraId="0CEE3CB3"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600" w:type="pct"/>
          </w:tcPr>
          <w:p w14:paraId="2A9B51AE"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r>
      <w:tr w:rsidR="00975BC5" w14:paraId="76F752D5" w14:textId="77777777" w:rsidTr="00D70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9" w:type="pct"/>
            <w:hideMark/>
          </w:tcPr>
          <w:p w14:paraId="4BEA045C" w14:textId="77777777" w:rsidR="00975BC5" w:rsidRPr="001A1BE7" w:rsidRDefault="00975BC5" w:rsidP="00773F6C">
            <w:pPr>
              <w:spacing w:before="40" w:after="40" w:line="240" w:lineRule="atLeast"/>
              <w:ind w:left="593"/>
              <w:rPr>
                <w:rFonts w:cstheme="minorHAnsi"/>
                <w:b w:val="0"/>
                <w:sz w:val="18"/>
                <w:szCs w:val="18"/>
              </w:rPr>
            </w:pPr>
            <w:r w:rsidRPr="001A1BE7">
              <w:rPr>
                <w:rFonts w:cstheme="minorHAnsi"/>
                <w:b w:val="0"/>
                <w:sz w:val="18"/>
                <w:szCs w:val="18"/>
              </w:rPr>
              <w:t xml:space="preserve">a. No. hours leave </w:t>
            </w:r>
            <w:r>
              <w:rPr>
                <w:rFonts w:cstheme="minorHAnsi"/>
                <w:b w:val="0"/>
                <w:sz w:val="18"/>
                <w:szCs w:val="18"/>
              </w:rPr>
              <w:t xml:space="preserve">accrued </w:t>
            </w:r>
            <w:r w:rsidRPr="001A1BE7">
              <w:rPr>
                <w:rFonts w:cstheme="minorHAnsi"/>
                <w:b w:val="0"/>
                <w:sz w:val="18"/>
                <w:szCs w:val="18"/>
              </w:rPr>
              <w:t>in a year (hrs/</w:t>
            </w:r>
            <w:proofErr w:type="spellStart"/>
            <w:r w:rsidRPr="001A1BE7">
              <w:rPr>
                <w:rFonts w:cstheme="minorHAnsi"/>
                <w:b w:val="0"/>
                <w:sz w:val="18"/>
                <w:szCs w:val="18"/>
              </w:rPr>
              <w:t>yr</w:t>
            </w:r>
            <w:proofErr w:type="spellEnd"/>
            <w:r w:rsidRPr="001A1BE7">
              <w:rPr>
                <w:rFonts w:cstheme="minorHAnsi"/>
                <w:b w:val="0"/>
                <w:sz w:val="18"/>
                <w:szCs w:val="18"/>
              </w:rPr>
              <w:t>)</w:t>
            </w:r>
          </w:p>
        </w:tc>
        <w:tc>
          <w:tcPr>
            <w:tcW w:w="551" w:type="pct"/>
            <w:noWrap/>
            <w:hideMark/>
          </w:tcPr>
          <w:p w14:paraId="6BB62DE3"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152</w:t>
            </w:r>
          </w:p>
        </w:tc>
        <w:tc>
          <w:tcPr>
            <w:tcW w:w="550" w:type="pct"/>
          </w:tcPr>
          <w:p w14:paraId="470B4FF5"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18"/>
                <w:szCs w:val="18"/>
                <w:lang w:eastAsia="en-AU"/>
              </w:rPr>
            </w:pPr>
            <w:r w:rsidRPr="001A1BE7">
              <w:rPr>
                <w:rFonts w:cstheme="minorHAnsi"/>
                <w:sz w:val="18"/>
                <w:szCs w:val="18"/>
              </w:rPr>
              <w:t>152</w:t>
            </w:r>
          </w:p>
        </w:tc>
        <w:tc>
          <w:tcPr>
            <w:tcW w:w="550" w:type="pct"/>
          </w:tcPr>
          <w:p w14:paraId="18073276"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18"/>
                <w:szCs w:val="18"/>
                <w:lang w:eastAsia="en-AU"/>
              </w:rPr>
            </w:pPr>
            <w:r w:rsidRPr="001A1BE7">
              <w:rPr>
                <w:rFonts w:cstheme="minorHAnsi"/>
                <w:sz w:val="18"/>
                <w:szCs w:val="18"/>
              </w:rPr>
              <w:t>152</w:t>
            </w:r>
          </w:p>
        </w:tc>
        <w:tc>
          <w:tcPr>
            <w:tcW w:w="600" w:type="pct"/>
          </w:tcPr>
          <w:p w14:paraId="6727A524"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152</w:t>
            </w:r>
          </w:p>
        </w:tc>
      </w:tr>
      <w:tr w:rsidR="00975BC5" w14:paraId="55C26E2C" w14:textId="77777777" w:rsidTr="00D70AFD">
        <w:trPr>
          <w:trHeight w:val="300"/>
        </w:trPr>
        <w:tc>
          <w:tcPr>
            <w:cnfStyle w:val="001000000000" w:firstRow="0" w:lastRow="0" w:firstColumn="1" w:lastColumn="0" w:oddVBand="0" w:evenVBand="0" w:oddHBand="0" w:evenHBand="0" w:firstRowFirstColumn="0" w:firstRowLastColumn="0" w:lastRowFirstColumn="0" w:lastRowLastColumn="0"/>
            <w:tcW w:w="2749" w:type="pct"/>
          </w:tcPr>
          <w:p w14:paraId="09319FC8" w14:textId="77777777" w:rsidR="00975BC5" w:rsidRPr="001A1BE7" w:rsidRDefault="00975BC5" w:rsidP="00773F6C">
            <w:pPr>
              <w:spacing w:before="40" w:after="40" w:line="240" w:lineRule="atLeast"/>
              <w:ind w:left="593"/>
              <w:rPr>
                <w:rFonts w:cstheme="minorHAnsi"/>
                <w:b w:val="0"/>
                <w:sz w:val="18"/>
                <w:szCs w:val="18"/>
              </w:rPr>
            </w:pPr>
            <w:r w:rsidRPr="001A1BE7">
              <w:rPr>
                <w:rFonts w:cstheme="minorHAnsi"/>
                <w:b w:val="0"/>
                <w:sz w:val="18"/>
                <w:szCs w:val="18"/>
              </w:rPr>
              <w:t>b. Loading</w:t>
            </w:r>
          </w:p>
        </w:tc>
        <w:tc>
          <w:tcPr>
            <w:tcW w:w="551" w:type="pct"/>
            <w:noWrap/>
          </w:tcPr>
          <w:p w14:paraId="4FCB6C6F"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17.5%</w:t>
            </w:r>
          </w:p>
        </w:tc>
        <w:tc>
          <w:tcPr>
            <w:tcW w:w="550" w:type="pct"/>
          </w:tcPr>
          <w:p w14:paraId="4A0BC1AE"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17.5%</w:t>
            </w:r>
          </w:p>
        </w:tc>
        <w:tc>
          <w:tcPr>
            <w:tcW w:w="550" w:type="pct"/>
          </w:tcPr>
          <w:p w14:paraId="40120481"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17.5%</w:t>
            </w:r>
          </w:p>
        </w:tc>
        <w:tc>
          <w:tcPr>
            <w:tcW w:w="600" w:type="pct"/>
          </w:tcPr>
          <w:p w14:paraId="0E43AFF8"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17.5%</w:t>
            </w:r>
          </w:p>
        </w:tc>
      </w:tr>
      <w:tr w:rsidR="00975BC5" w14:paraId="7888A18F" w14:textId="77777777" w:rsidTr="00D70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9" w:type="pct"/>
          </w:tcPr>
          <w:p w14:paraId="1F0966DA" w14:textId="77777777" w:rsidR="00975BC5" w:rsidRPr="001A1BE7" w:rsidRDefault="00975BC5" w:rsidP="00773F6C">
            <w:pPr>
              <w:spacing w:before="40" w:after="40" w:line="240" w:lineRule="atLeast"/>
              <w:ind w:left="593"/>
              <w:rPr>
                <w:rFonts w:cstheme="minorHAnsi"/>
                <w:b w:val="0"/>
                <w:sz w:val="18"/>
                <w:szCs w:val="18"/>
              </w:rPr>
            </w:pPr>
            <w:r w:rsidRPr="001A1BE7">
              <w:rPr>
                <w:rFonts w:cstheme="minorHAnsi"/>
                <w:b w:val="0"/>
                <w:sz w:val="18"/>
                <w:szCs w:val="18"/>
              </w:rPr>
              <w:t>c. Proportion of leave taken</w:t>
            </w:r>
          </w:p>
        </w:tc>
        <w:tc>
          <w:tcPr>
            <w:tcW w:w="551" w:type="pct"/>
            <w:noWrap/>
          </w:tcPr>
          <w:p w14:paraId="46BB7D01"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100.0%</w:t>
            </w:r>
          </w:p>
        </w:tc>
        <w:tc>
          <w:tcPr>
            <w:tcW w:w="550" w:type="pct"/>
          </w:tcPr>
          <w:p w14:paraId="21B777F7"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100.0%</w:t>
            </w:r>
          </w:p>
        </w:tc>
        <w:tc>
          <w:tcPr>
            <w:tcW w:w="550" w:type="pct"/>
          </w:tcPr>
          <w:p w14:paraId="16820817"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100.0%</w:t>
            </w:r>
          </w:p>
        </w:tc>
        <w:tc>
          <w:tcPr>
            <w:tcW w:w="600" w:type="pct"/>
          </w:tcPr>
          <w:p w14:paraId="157D072A"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100.0%</w:t>
            </w:r>
          </w:p>
        </w:tc>
      </w:tr>
      <w:tr w:rsidR="00975BC5" w14:paraId="2383ECB9" w14:textId="77777777" w:rsidTr="00D70AFD">
        <w:trPr>
          <w:trHeight w:val="300"/>
        </w:trPr>
        <w:tc>
          <w:tcPr>
            <w:cnfStyle w:val="001000000000" w:firstRow="0" w:lastRow="0" w:firstColumn="1" w:lastColumn="0" w:oddVBand="0" w:evenVBand="0" w:oddHBand="0" w:evenHBand="0" w:firstRowFirstColumn="0" w:firstRowLastColumn="0" w:lastRowFirstColumn="0" w:lastRowLastColumn="0"/>
            <w:tcW w:w="2749" w:type="pct"/>
          </w:tcPr>
          <w:p w14:paraId="2CAAD9D8" w14:textId="77777777" w:rsidR="00975BC5" w:rsidRPr="001A1BE7" w:rsidRDefault="00975BC5" w:rsidP="00773F6C">
            <w:pPr>
              <w:spacing w:before="40" w:after="40" w:line="240" w:lineRule="atLeast"/>
              <w:ind w:left="593"/>
              <w:rPr>
                <w:rFonts w:cstheme="minorHAnsi"/>
                <w:sz w:val="18"/>
                <w:szCs w:val="18"/>
              </w:rPr>
            </w:pPr>
            <w:r>
              <w:rPr>
                <w:rFonts w:cstheme="minorHAnsi"/>
                <w:sz w:val="18"/>
                <w:szCs w:val="18"/>
              </w:rPr>
              <w:t>Cost per worked hour</w:t>
            </w:r>
          </w:p>
        </w:tc>
        <w:tc>
          <w:tcPr>
            <w:tcW w:w="551" w:type="pct"/>
            <w:noWrap/>
          </w:tcPr>
          <w:p w14:paraId="317406B7" w14:textId="77777777" w:rsidR="00975BC5" w:rsidRPr="001566A0"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Pr>
                <w:rFonts w:cstheme="minorHAnsi"/>
                <w:b/>
                <w:sz w:val="18"/>
                <w:szCs w:val="18"/>
              </w:rPr>
              <w:t>$3.16</w:t>
            </w:r>
          </w:p>
        </w:tc>
        <w:tc>
          <w:tcPr>
            <w:tcW w:w="550" w:type="pct"/>
          </w:tcPr>
          <w:p w14:paraId="4B326CC0" w14:textId="77777777" w:rsidR="00975BC5" w:rsidRPr="001566A0"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Pr>
                <w:rFonts w:cstheme="minorHAnsi"/>
                <w:b/>
                <w:sz w:val="18"/>
                <w:szCs w:val="18"/>
              </w:rPr>
              <w:t>$3.28</w:t>
            </w:r>
          </w:p>
        </w:tc>
        <w:tc>
          <w:tcPr>
            <w:tcW w:w="550" w:type="pct"/>
          </w:tcPr>
          <w:p w14:paraId="6882EC85" w14:textId="77777777" w:rsidR="00975BC5" w:rsidRPr="001566A0"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Pr>
                <w:rFonts w:cstheme="minorHAnsi"/>
                <w:b/>
                <w:sz w:val="18"/>
                <w:szCs w:val="18"/>
              </w:rPr>
              <w:t>$3.41</w:t>
            </w:r>
          </w:p>
        </w:tc>
        <w:tc>
          <w:tcPr>
            <w:tcW w:w="600" w:type="pct"/>
          </w:tcPr>
          <w:p w14:paraId="01B8A44E" w14:textId="77777777" w:rsidR="00975BC5"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Pr>
                <w:rFonts w:cstheme="minorHAnsi"/>
                <w:b/>
                <w:sz w:val="18"/>
                <w:szCs w:val="18"/>
              </w:rPr>
              <w:t>$4.10</w:t>
            </w:r>
          </w:p>
        </w:tc>
      </w:tr>
      <w:tr w:rsidR="00975BC5" w14:paraId="27026AFC" w14:textId="77777777" w:rsidTr="00D70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9" w:type="pct"/>
          </w:tcPr>
          <w:p w14:paraId="171D4B61" w14:textId="77777777" w:rsidR="00975BC5" w:rsidRPr="001A1BE7" w:rsidRDefault="00975BC5" w:rsidP="00773F6C">
            <w:pPr>
              <w:spacing w:before="40" w:after="40" w:line="240" w:lineRule="atLeast"/>
              <w:rPr>
                <w:rFonts w:cstheme="minorHAnsi"/>
                <w:sz w:val="18"/>
                <w:szCs w:val="18"/>
              </w:rPr>
            </w:pPr>
            <w:r w:rsidRPr="001A1BE7">
              <w:rPr>
                <w:rFonts w:cstheme="minorHAnsi"/>
                <w:sz w:val="18"/>
                <w:szCs w:val="18"/>
              </w:rPr>
              <w:t>All</w:t>
            </w:r>
            <w:r>
              <w:rPr>
                <w:rFonts w:cstheme="minorHAnsi"/>
                <w:sz w:val="18"/>
                <w:szCs w:val="18"/>
              </w:rPr>
              <w:t>owance for Personal leave</w:t>
            </w:r>
          </w:p>
        </w:tc>
        <w:tc>
          <w:tcPr>
            <w:tcW w:w="551" w:type="pct"/>
            <w:noWrap/>
          </w:tcPr>
          <w:p w14:paraId="59E18E5F" w14:textId="77777777" w:rsidR="00975BC5" w:rsidRPr="001566A0"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c>
          <w:tcPr>
            <w:tcW w:w="550" w:type="pct"/>
          </w:tcPr>
          <w:p w14:paraId="3D1FACF3" w14:textId="77777777" w:rsidR="00975BC5" w:rsidRPr="001566A0"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c>
          <w:tcPr>
            <w:tcW w:w="550" w:type="pct"/>
          </w:tcPr>
          <w:p w14:paraId="033AC956" w14:textId="77777777" w:rsidR="00975BC5" w:rsidRPr="001566A0"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c>
          <w:tcPr>
            <w:tcW w:w="600" w:type="pct"/>
          </w:tcPr>
          <w:p w14:paraId="014AA0AB" w14:textId="77777777" w:rsidR="00975BC5" w:rsidRPr="001566A0"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r>
      <w:tr w:rsidR="00975BC5" w14:paraId="41FD7BD5" w14:textId="77777777" w:rsidTr="00D70AFD">
        <w:trPr>
          <w:trHeight w:val="300"/>
        </w:trPr>
        <w:tc>
          <w:tcPr>
            <w:cnfStyle w:val="001000000000" w:firstRow="0" w:lastRow="0" w:firstColumn="1" w:lastColumn="0" w:oddVBand="0" w:evenVBand="0" w:oddHBand="0" w:evenHBand="0" w:firstRowFirstColumn="0" w:firstRowLastColumn="0" w:lastRowFirstColumn="0" w:lastRowLastColumn="0"/>
            <w:tcW w:w="2749" w:type="pct"/>
          </w:tcPr>
          <w:p w14:paraId="22CF0C20" w14:textId="77777777" w:rsidR="00975BC5" w:rsidRPr="001A1BE7" w:rsidRDefault="00975BC5" w:rsidP="00773F6C">
            <w:pPr>
              <w:spacing w:before="40" w:after="40" w:line="240" w:lineRule="atLeast"/>
              <w:ind w:left="593"/>
              <w:rPr>
                <w:rFonts w:cstheme="minorHAnsi"/>
                <w:b w:val="0"/>
                <w:sz w:val="18"/>
                <w:szCs w:val="18"/>
              </w:rPr>
            </w:pPr>
            <w:r w:rsidRPr="001A1BE7">
              <w:rPr>
                <w:rFonts w:cstheme="minorHAnsi"/>
                <w:b w:val="0"/>
                <w:sz w:val="18"/>
                <w:szCs w:val="18"/>
              </w:rPr>
              <w:t>a. No. hours leave in a year (hrs/</w:t>
            </w:r>
            <w:proofErr w:type="spellStart"/>
            <w:r w:rsidRPr="001A1BE7">
              <w:rPr>
                <w:rFonts w:cstheme="minorHAnsi"/>
                <w:b w:val="0"/>
                <w:sz w:val="18"/>
                <w:szCs w:val="18"/>
              </w:rPr>
              <w:t>yr</w:t>
            </w:r>
            <w:proofErr w:type="spellEnd"/>
            <w:r w:rsidRPr="001A1BE7">
              <w:rPr>
                <w:rFonts w:cstheme="minorHAnsi"/>
                <w:b w:val="0"/>
                <w:sz w:val="18"/>
                <w:szCs w:val="18"/>
              </w:rPr>
              <w:t>)</w:t>
            </w:r>
          </w:p>
        </w:tc>
        <w:tc>
          <w:tcPr>
            <w:tcW w:w="551" w:type="pct"/>
            <w:noWrap/>
          </w:tcPr>
          <w:p w14:paraId="7C10F25D"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76</w:t>
            </w:r>
          </w:p>
        </w:tc>
        <w:tc>
          <w:tcPr>
            <w:tcW w:w="550" w:type="pct"/>
          </w:tcPr>
          <w:p w14:paraId="312ECDF6"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76</w:t>
            </w:r>
          </w:p>
        </w:tc>
        <w:tc>
          <w:tcPr>
            <w:tcW w:w="550" w:type="pct"/>
          </w:tcPr>
          <w:p w14:paraId="6BA03573"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76</w:t>
            </w:r>
          </w:p>
        </w:tc>
        <w:tc>
          <w:tcPr>
            <w:tcW w:w="600" w:type="pct"/>
          </w:tcPr>
          <w:p w14:paraId="7C2F69DF"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76</w:t>
            </w:r>
          </w:p>
        </w:tc>
      </w:tr>
      <w:tr w:rsidR="00975BC5" w14:paraId="65AFE682" w14:textId="77777777" w:rsidTr="00D70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9" w:type="pct"/>
          </w:tcPr>
          <w:p w14:paraId="348482E8" w14:textId="77777777" w:rsidR="00975BC5" w:rsidRPr="001A1BE7" w:rsidRDefault="00975BC5" w:rsidP="00773F6C">
            <w:pPr>
              <w:spacing w:before="40" w:after="40" w:line="240" w:lineRule="atLeast"/>
              <w:ind w:left="593"/>
              <w:rPr>
                <w:rFonts w:cstheme="minorHAnsi"/>
                <w:b w:val="0"/>
                <w:sz w:val="18"/>
                <w:szCs w:val="18"/>
              </w:rPr>
            </w:pPr>
            <w:r w:rsidRPr="001A1BE7">
              <w:rPr>
                <w:rFonts w:cstheme="minorHAnsi"/>
                <w:b w:val="0"/>
                <w:sz w:val="18"/>
                <w:szCs w:val="18"/>
              </w:rPr>
              <w:t>b. Loading</w:t>
            </w:r>
          </w:p>
        </w:tc>
        <w:tc>
          <w:tcPr>
            <w:tcW w:w="551" w:type="pct"/>
            <w:noWrap/>
          </w:tcPr>
          <w:p w14:paraId="5A9EC0AB"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0.0%</w:t>
            </w:r>
          </w:p>
        </w:tc>
        <w:tc>
          <w:tcPr>
            <w:tcW w:w="550" w:type="pct"/>
          </w:tcPr>
          <w:p w14:paraId="1752376A"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0.0%</w:t>
            </w:r>
          </w:p>
        </w:tc>
        <w:tc>
          <w:tcPr>
            <w:tcW w:w="550" w:type="pct"/>
          </w:tcPr>
          <w:p w14:paraId="4824A870"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0.0%</w:t>
            </w:r>
          </w:p>
        </w:tc>
        <w:tc>
          <w:tcPr>
            <w:tcW w:w="600" w:type="pct"/>
          </w:tcPr>
          <w:p w14:paraId="415E9CBD"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0.0%</w:t>
            </w:r>
          </w:p>
        </w:tc>
      </w:tr>
      <w:tr w:rsidR="00975BC5" w14:paraId="5C8F89A1" w14:textId="77777777" w:rsidTr="00D70AFD">
        <w:trPr>
          <w:trHeight w:val="300"/>
        </w:trPr>
        <w:tc>
          <w:tcPr>
            <w:cnfStyle w:val="001000000000" w:firstRow="0" w:lastRow="0" w:firstColumn="1" w:lastColumn="0" w:oddVBand="0" w:evenVBand="0" w:oddHBand="0" w:evenHBand="0" w:firstRowFirstColumn="0" w:firstRowLastColumn="0" w:lastRowFirstColumn="0" w:lastRowLastColumn="0"/>
            <w:tcW w:w="2749" w:type="pct"/>
          </w:tcPr>
          <w:p w14:paraId="282AFFFD" w14:textId="77777777" w:rsidR="00975BC5" w:rsidRPr="001A1BE7" w:rsidRDefault="00975BC5" w:rsidP="00773F6C">
            <w:pPr>
              <w:spacing w:before="40" w:after="40" w:line="240" w:lineRule="atLeast"/>
              <w:ind w:left="593"/>
              <w:rPr>
                <w:rFonts w:cstheme="minorHAnsi"/>
                <w:b w:val="0"/>
                <w:sz w:val="18"/>
                <w:szCs w:val="18"/>
              </w:rPr>
            </w:pPr>
            <w:r w:rsidRPr="001A1BE7">
              <w:rPr>
                <w:rFonts w:cstheme="minorHAnsi"/>
                <w:b w:val="0"/>
                <w:sz w:val="18"/>
                <w:szCs w:val="18"/>
              </w:rPr>
              <w:t>c. Proportion of leave taken</w:t>
            </w:r>
          </w:p>
        </w:tc>
        <w:tc>
          <w:tcPr>
            <w:tcW w:w="551" w:type="pct"/>
            <w:noWrap/>
          </w:tcPr>
          <w:p w14:paraId="14AB62EE"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100.0%</w:t>
            </w:r>
          </w:p>
        </w:tc>
        <w:tc>
          <w:tcPr>
            <w:tcW w:w="550" w:type="pct"/>
          </w:tcPr>
          <w:p w14:paraId="0DFF0C05"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100.0%</w:t>
            </w:r>
          </w:p>
        </w:tc>
        <w:tc>
          <w:tcPr>
            <w:tcW w:w="550" w:type="pct"/>
          </w:tcPr>
          <w:p w14:paraId="0C7CE134"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100.0%</w:t>
            </w:r>
          </w:p>
        </w:tc>
        <w:tc>
          <w:tcPr>
            <w:tcW w:w="600" w:type="pct"/>
          </w:tcPr>
          <w:p w14:paraId="2DD84303"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100.0%</w:t>
            </w:r>
          </w:p>
        </w:tc>
      </w:tr>
      <w:tr w:rsidR="00975BC5" w14:paraId="7C3DF445" w14:textId="77777777" w:rsidTr="00D70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9" w:type="pct"/>
          </w:tcPr>
          <w:p w14:paraId="099FC088" w14:textId="77777777" w:rsidR="00975BC5" w:rsidRPr="001A1BE7" w:rsidRDefault="00975BC5" w:rsidP="00773F6C">
            <w:pPr>
              <w:spacing w:before="40" w:after="40" w:line="240" w:lineRule="atLeast"/>
              <w:ind w:left="593"/>
              <w:rPr>
                <w:rFonts w:cstheme="minorHAnsi"/>
                <w:sz w:val="18"/>
                <w:szCs w:val="18"/>
              </w:rPr>
            </w:pPr>
            <w:r>
              <w:rPr>
                <w:rFonts w:cstheme="minorHAnsi"/>
                <w:sz w:val="18"/>
                <w:szCs w:val="18"/>
              </w:rPr>
              <w:t>Cost per worked hour</w:t>
            </w:r>
          </w:p>
        </w:tc>
        <w:tc>
          <w:tcPr>
            <w:tcW w:w="551" w:type="pct"/>
            <w:noWrap/>
          </w:tcPr>
          <w:p w14:paraId="50A9C91E"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b/>
                <w:sz w:val="18"/>
                <w:szCs w:val="18"/>
              </w:rPr>
              <w:t>$</w:t>
            </w:r>
            <w:r w:rsidRPr="001566A0">
              <w:rPr>
                <w:rFonts w:cstheme="minorHAnsi"/>
                <w:b/>
                <w:sz w:val="18"/>
                <w:szCs w:val="18"/>
              </w:rPr>
              <w:t>1.</w:t>
            </w:r>
            <w:r>
              <w:rPr>
                <w:rFonts w:cstheme="minorHAnsi"/>
                <w:b/>
                <w:sz w:val="18"/>
                <w:szCs w:val="18"/>
              </w:rPr>
              <w:t>34</w:t>
            </w:r>
          </w:p>
        </w:tc>
        <w:tc>
          <w:tcPr>
            <w:tcW w:w="550" w:type="pct"/>
          </w:tcPr>
          <w:p w14:paraId="1C956814"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$1.39</w:t>
            </w:r>
          </w:p>
        </w:tc>
        <w:tc>
          <w:tcPr>
            <w:tcW w:w="550" w:type="pct"/>
          </w:tcPr>
          <w:p w14:paraId="2AC69B7D"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$1.45</w:t>
            </w:r>
          </w:p>
        </w:tc>
        <w:tc>
          <w:tcPr>
            <w:tcW w:w="600" w:type="pct"/>
          </w:tcPr>
          <w:p w14:paraId="2047C42F" w14:textId="77777777" w:rsidR="00975BC5"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$1.74</w:t>
            </w:r>
          </w:p>
        </w:tc>
      </w:tr>
      <w:tr w:rsidR="00975BC5" w14:paraId="1AFDB324" w14:textId="77777777" w:rsidTr="00D70AFD">
        <w:trPr>
          <w:trHeight w:val="300"/>
        </w:trPr>
        <w:tc>
          <w:tcPr>
            <w:cnfStyle w:val="001000000000" w:firstRow="0" w:lastRow="0" w:firstColumn="1" w:lastColumn="0" w:oddVBand="0" w:evenVBand="0" w:oddHBand="0" w:evenHBand="0" w:firstRowFirstColumn="0" w:firstRowLastColumn="0" w:lastRowFirstColumn="0" w:lastRowLastColumn="0"/>
            <w:tcW w:w="2749" w:type="pct"/>
          </w:tcPr>
          <w:p w14:paraId="6FD0F9EB" w14:textId="77777777" w:rsidR="00975BC5" w:rsidRPr="001A1BE7" w:rsidRDefault="00975BC5" w:rsidP="00773F6C">
            <w:pPr>
              <w:spacing w:before="40" w:after="40" w:line="240" w:lineRule="atLeast"/>
              <w:rPr>
                <w:rFonts w:cstheme="minorHAnsi"/>
                <w:sz w:val="18"/>
                <w:szCs w:val="18"/>
              </w:rPr>
            </w:pPr>
            <w:r w:rsidRPr="001A1BE7">
              <w:rPr>
                <w:rFonts w:cstheme="minorHAnsi"/>
                <w:sz w:val="18"/>
                <w:szCs w:val="18"/>
              </w:rPr>
              <w:t>All</w:t>
            </w:r>
            <w:r>
              <w:rPr>
                <w:rFonts w:cstheme="minorHAnsi"/>
                <w:sz w:val="18"/>
                <w:szCs w:val="18"/>
              </w:rPr>
              <w:t>owance for Public Holiday leave</w:t>
            </w:r>
          </w:p>
        </w:tc>
        <w:tc>
          <w:tcPr>
            <w:tcW w:w="551" w:type="pct"/>
            <w:noWrap/>
          </w:tcPr>
          <w:p w14:paraId="3F109A24"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tcPr>
          <w:p w14:paraId="7AF634F6"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550" w:type="pct"/>
          </w:tcPr>
          <w:p w14:paraId="525AB20F"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600" w:type="pct"/>
          </w:tcPr>
          <w:p w14:paraId="7C6DCA7A"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r>
      <w:tr w:rsidR="00975BC5" w14:paraId="23E266E9" w14:textId="77777777" w:rsidTr="00D70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9" w:type="pct"/>
          </w:tcPr>
          <w:p w14:paraId="11CE39A2" w14:textId="77777777" w:rsidR="00975BC5" w:rsidRPr="001A1BE7" w:rsidRDefault="00975BC5" w:rsidP="00773F6C">
            <w:pPr>
              <w:spacing w:before="40" w:after="40" w:line="240" w:lineRule="atLeast"/>
              <w:ind w:left="593"/>
              <w:rPr>
                <w:rFonts w:cstheme="minorHAnsi"/>
                <w:b w:val="0"/>
                <w:sz w:val="18"/>
                <w:szCs w:val="18"/>
              </w:rPr>
            </w:pPr>
            <w:r w:rsidRPr="001A1BE7">
              <w:rPr>
                <w:rFonts w:cstheme="minorHAnsi"/>
                <w:b w:val="0"/>
                <w:sz w:val="18"/>
                <w:szCs w:val="18"/>
              </w:rPr>
              <w:t xml:space="preserve">a. No. hours leave </w:t>
            </w:r>
            <w:r>
              <w:rPr>
                <w:rFonts w:cstheme="minorHAnsi"/>
                <w:b w:val="0"/>
                <w:sz w:val="18"/>
                <w:szCs w:val="18"/>
              </w:rPr>
              <w:t xml:space="preserve">accrued </w:t>
            </w:r>
            <w:r w:rsidRPr="001A1BE7">
              <w:rPr>
                <w:rFonts w:cstheme="minorHAnsi"/>
                <w:b w:val="0"/>
                <w:sz w:val="18"/>
                <w:szCs w:val="18"/>
              </w:rPr>
              <w:t>in a year (hrs/</w:t>
            </w:r>
            <w:proofErr w:type="spellStart"/>
            <w:r w:rsidRPr="001A1BE7">
              <w:rPr>
                <w:rFonts w:cstheme="minorHAnsi"/>
                <w:b w:val="0"/>
                <w:sz w:val="18"/>
                <w:szCs w:val="18"/>
              </w:rPr>
              <w:t>yr</w:t>
            </w:r>
            <w:proofErr w:type="spellEnd"/>
            <w:r w:rsidRPr="001A1BE7">
              <w:rPr>
                <w:rFonts w:cstheme="minorHAnsi"/>
                <w:b w:val="0"/>
                <w:sz w:val="18"/>
                <w:szCs w:val="18"/>
              </w:rPr>
              <w:t>)</w:t>
            </w:r>
          </w:p>
        </w:tc>
        <w:tc>
          <w:tcPr>
            <w:tcW w:w="551" w:type="pct"/>
            <w:noWrap/>
          </w:tcPr>
          <w:p w14:paraId="2F85AF41"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76</w:t>
            </w:r>
          </w:p>
        </w:tc>
        <w:tc>
          <w:tcPr>
            <w:tcW w:w="550" w:type="pct"/>
          </w:tcPr>
          <w:p w14:paraId="36A11B51"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76</w:t>
            </w:r>
          </w:p>
        </w:tc>
        <w:tc>
          <w:tcPr>
            <w:tcW w:w="550" w:type="pct"/>
          </w:tcPr>
          <w:p w14:paraId="5DA1CFEF"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76</w:t>
            </w:r>
          </w:p>
        </w:tc>
        <w:tc>
          <w:tcPr>
            <w:tcW w:w="600" w:type="pct"/>
          </w:tcPr>
          <w:p w14:paraId="23B2F80A"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76</w:t>
            </w:r>
          </w:p>
        </w:tc>
      </w:tr>
      <w:tr w:rsidR="00975BC5" w14:paraId="2CD8012D" w14:textId="77777777" w:rsidTr="00D70AFD">
        <w:trPr>
          <w:trHeight w:val="300"/>
        </w:trPr>
        <w:tc>
          <w:tcPr>
            <w:cnfStyle w:val="001000000000" w:firstRow="0" w:lastRow="0" w:firstColumn="1" w:lastColumn="0" w:oddVBand="0" w:evenVBand="0" w:oddHBand="0" w:evenHBand="0" w:firstRowFirstColumn="0" w:firstRowLastColumn="0" w:lastRowFirstColumn="0" w:lastRowLastColumn="0"/>
            <w:tcW w:w="2749" w:type="pct"/>
          </w:tcPr>
          <w:p w14:paraId="3F92B2DD" w14:textId="77777777" w:rsidR="00975BC5" w:rsidRPr="001A1BE7" w:rsidRDefault="00975BC5" w:rsidP="00773F6C">
            <w:pPr>
              <w:spacing w:before="40" w:after="40" w:line="240" w:lineRule="atLeast"/>
              <w:ind w:left="593"/>
              <w:rPr>
                <w:rFonts w:cstheme="minorHAnsi"/>
                <w:b w:val="0"/>
                <w:sz w:val="18"/>
                <w:szCs w:val="18"/>
              </w:rPr>
            </w:pPr>
            <w:r w:rsidRPr="001A1BE7">
              <w:rPr>
                <w:rFonts w:cstheme="minorHAnsi"/>
                <w:b w:val="0"/>
                <w:sz w:val="18"/>
                <w:szCs w:val="18"/>
              </w:rPr>
              <w:t>b. Loading</w:t>
            </w:r>
          </w:p>
        </w:tc>
        <w:tc>
          <w:tcPr>
            <w:tcW w:w="551" w:type="pct"/>
            <w:noWrap/>
          </w:tcPr>
          <w:p w14:paraId="79E4A74B"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0.0%</w:t>
            </w:r>
          </w:p>
        </w:tc>
        <w:tc>
          <w:tcPr>
            <w:tcW w:w="550" w:type="pct"/>
          </w:tcPr>
          <w:p w14:paraId="53F2CE5F"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0.0%</w:t>
            </w:r>
          </w:p>
        </w:tc>
        <w:tc>
          <w:tcPr>
            <w:tcW w:w="550" w:type="pct"/>
          </w:tcPr>
          <w:p w14:paraId="24E40288"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0.0%</w:t>
            </w:r>
          </w:p>
        </w:tc>
        <w:tc>
          <w:tcPr>
            <w:tcW w:w="600" w:type="pct"/>
          </w:tcPr>
          <w:p w14:paraId="5A41E416"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0.0%</w:t>
            </w:r>
          </w:p>
        </w:tc>
      </w:tr>
      <w:tr w:rsidR="00975BC5" w14:paraId="30CE5D63" w14:textId="77777777" w:rsidTr="00D70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9" w:type="pct"/>
          </w:tcPr>
          <w:p w14:paraId="75B1E560" w14:textId="77777777" w:rsidR="00975BC5" w:rsidRPr="001A1BE7" w:rsidRDefault="00975BC5" w:rsidP="00773F6C">
            <w:pPr>
              <w:spacing w:before="40" w:after="40" w:line="240" w:lineRule="atLeast"/>
              <w:ind w:left="593"/>
              <w:rPr>
                <w:rFonts w:cstheme="minorHAnsi"/>
                <w:b w:val="0"/>
                <w:sz w:val="18"/>
                <w:szCs w:val="18"/>
              </w:rPr>
            </w:pPr>
            <w:r w:rsidRPr="001A1BE7">
              <w:rPr>
                <w:rFonts w:cstheme="minorHAnsi"/>
                <w:b w:val="0"/>
                <w:sz w:val="18"/>
                <w:szCs w:val="18"/>
              </w:rPr>
              <w:t>c. Proportion of leave taken</w:t>
            </w:r>
          </w:p>
        </w:tc>
        <w:tc>
          <w:tcPr>
            <w:tcW w:w="551" w:type="pct"/>
            <w:noWrap/>
          </w:tcPr>
          <w:p w14:paraId="44B97F66"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100.0%</w:t>
            </w:r>
          </w:p>
        </w:tc>
        <w:tc>
          <w:tcPr>
            <w:tcW w:w="550" w:type="pct"/>
          </w:tcPr>
          <w:p w14:paraId="1B5938B5"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100.0%</w:t>
            </w:r>
          </w:p>
        </w:tc>
        <w:tc>
          <w:tcPr>
            <w:tcW w:w="550" w:type="pct"/>
          </w:tcPr>
          <w:p w14:paraId="48E14AA0"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100.0%</w:t>
            </w:r>
          </w:p>
        </w:tc>
        <w:tc>
          <w:tcPr>
            <w:tcW w:w="600" w:type="pct"/>
          </w:tcPr>
          <w:p w14:paraId="05F8B1EC"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100.0%</w:t>
            </w:r>
          </w:p>
        </w:tc>
      </w:tr>
      <w:tr w:rsidR="00975BC5" w14:paraId="53487A3A" w14:textId="77777777" w:rsidTr="00D70AFD">
        <w:trPr>
          <w:trHeight w:val="300"/>
        </w:trPr>
        <w:tc>
          <w:tcPr>
            <w:cnfStyle w:val="001000000000" w:firstRow="0" w:lastRow="0" w:firstColumn="1" w:lastColumn="0" w:oddVBand="0" w:evenVBand="0" w:oddHBand="0" w:evenHBand="0" w:firstRowFirstColumn="0" w:firstRowLastColumn="0" w:lastRowFirstColumn="0" w:lastRowLastColumn="0"/>
            <w:tcW w:w="2749" w:type="pct"/>
          </w:tcPr>
          <w:p w14:paraId="77E170B5" w14:textId="77777777" w:rsidR="00975BC5" w:rsidRPr="001A1BE7" w:rsidRDefault="00975BC5" w:rsidP="00773F6C">
            <w:pPr>
              <w:spacing w:before="40" w:after="40" w:line="240" w:lineRule="atLeast"/>
              <w:ind w:left="593"/>
              <w:rPr>
                <w:rFonts w:cstheme="minorHAnsi"/>
                <w:sz w:val="18"/>
                <w:szCs w:val="18"/>
              </w:rPr>
            </w:pPr>
            <w:r>
              <w:rPr>
                <w:rFonts w:cstheme="minorHAnsi"/>
                <w:sz w:val="18"/>
                <w:szCs w:val="18"/>
              </w:rPr>
              <w:t>Cost per worked hour</w:t>
            </w:r>
          </w:p>
        </w:tc>
        <w:tc>
          <w:tcPr>
            <w:tcW w:w="551" w:type="pct"/>
            <w:noWrap/>
          </w:tcPr>
          <w:p w14:paraId="1EADD67A"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b/>
                <w:sz w:val="18"/>
                <w:szCs w:val="18"/>
              </w:rPr>
              <w:t>$</w:t>
            </w:r>
            <w:r w:rsidRPr="001566A0">
              <w:rPr>
                <w:rFonts w:cstheme="minorHAnsi"/>
                <w:b/>
                <w:sz w:val="18"/>
                <w:szCs w:val="18"/>
              </w:rPr>
              <w:t>1.</w:t>
            </w:r>
            <w:r>
              <w:rPr>
                <w:rFonts w:cstheme="minorHAnsi"/>
                <w:b/>
                <w:sz w:val="18"/>
                <w:szCs w:val="18"/>
              </w:rPr>
              <w:t>34</w:t>
            </w:r>
          </w:p>
        </w:tc>
        <w:tc>
          <w:tcPr>
            <w:tcW w:w="550" w:type="pct"/>
          </w:tcPr>
          <w:p w14:paraId="0E09D094"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Pr>
                <w:rFonts w:cstheme="minorHAnsi"/>
                <w:b/>
                <w:sz w:val="18"/>
                <w:szCs w:val="18"/>
              </w:rPr>
              <w:t>$1.39</w:t>
            </w:r>
          </w:p>
        </w:tc>
        <w:tc>
          <w:tcPr>
            <w:tcW w:w="550" w:type="pct"/>
          </w:tcPr>
          <w:p w14:paraId="29937178"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Pr>
                <w:rFonts w:cstheme="minorHAnsi"/>
                <w:b/>
                <w:sz w:val="18"/>
                <w:szCs w:val="18"/>
              </w:rPr>
              <w:t>$1.45</w:t>
            </w:r>
          </w:p>
        </w:tc>
        <w:tc>
          <w:tcPr>
            <w:tcW w:w="600" w:type="pct"/>
          </w:tcPr>
          <w:p w14:paraId="1874C8CF" w14:textId="77777777" w:rsidR="00975BC5"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Pr>
                <w:rFonts w:cstheme="minorHAnsi"/>
                <w:b/>
                <w:sz w:val="18"/>
                <w:szCs w:val="18"/>
              </w:rPr>
              <w:t>$1.74</w:t>
            </w:r>
          </w:p>
        </w:tc>
      </w:tr>
      <w:tr w:rsidR="00975BC5" w14:paraId="24F5FDD0" w14:textId="77777777" w:rsidTr="00D70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9" w:type="pct"/>
          </w:tcPr>
          <w:p w14:paraId="1E85D26C" w14:textId="77777777" w:rsidR="00975BC5" w:rsidRPr="001A1BE7" w:rsidRDefault="00975BC5" w:rsidP="00773F6C">
            <w:pPr>
              <w:spacing w:before="40" w:after="40" w:line="240" w:lineRule="atLeast"/>
              <w:rPr>
                <w:rFonts w:cstheme="minorHAnsi"/>
                <w:sz w:val="18"/>
                <w:szCs w:val="18"/>
              </w:rPr>
            </w:pPr>
            <w:r w:rsidRPr="001A1BE7">
              <w:rPr>
                <w:rFonts w:cstheme="minorHAnsi"/>
                <w:sz w:val="18"/>
                <w:szCs w:val="18"/>
              </w:rPr>
              <w:t>Allowan</w:t>
            </w:r>
            <w:r>
              <w:rPr>
                <w:rFonts w:cstheme="minorHAnsi"/>
                <w:sz w:val="18"/>
                <w:szCs w:val="18"/>
              </w:rPr>
              <w:t>ce for Long Service leave</w:t>
            </w:r>
          </w:p>
        </w:tc>
        <w:tc>
          <w:tcPr>
            <w:tcW w:w="551" w:type="pct"/>
            <w:noWrap/>
          </w:tcPr>
          <w:p w14:paraId="0EE63A6D"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550" w:type="pct"/>
          </w:tcPr>
          <w:p w14:paraId="315C1C20"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c>
          <w:tcPr>
            <w:tcW w:w="550" w:type="pct"/>
          </w:tcPr>
          <w:p w14:paraId="35AFB7C4"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c>
          <w:tcPr>
            <w:tcW w:w="600" w:type="pct"/>
          </w:tcPr>
          <w:p w14:paraId="3129A043"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p>
        </w:tc>
      </w:tr>
      <w:tr w:rsidR="00975BC5" w14:paraId="2141039D" w14:textId="77777777" w:rsidTr="00D70AFD">
        <w:trPr>
          <w:trHeight w:val="300"/>
        </w:trPr>
        <w:tc>
          <w:tcPr>
            <w:cnfStyle w:val="001000000000" w:firstRow="0" w:lastRow="0" w:firstColumn="1" w:lastColumn="0" w:oddVBand="0" w:evenVBand="0" w:oddHBand="0" w:evenHBand="0" w:firstRowFirstColumn="0" w:firstRowLastColumn="0" w:lastRowFirstColumn="0" w:lastRowLastColumn="0"/>
            <w:tcW w:w="2749" w:type="pct"/>
          </w:tcPr>
          <w:p w14:paraId="0C16D561" w14:textId="77777777" w:rsidR="00975BC5" w:rsidRPr="001A1BE7" w:rsidRDefault="00975BC5" w:rsidP="00773F6C">
            <w:pPr>
              <w:spacing w:before="40" w:after="40" w:line="240" w:lineRule="atLeast"/>
              <w:ind w:left="593"/>
              <w:rPr>
                <w:rFonts w:cstheme="minorHAnsi"/>
                <w:b w:val="0"/>
                <w:sz w:val="18"/>
                <w:szCs w:val="18"/>
              </w:rPr>
            </w:pPr>
            <w:r w:rsidRPr="001A1BE7">
              <w:rPr>
                <w:rFonts w:cstheme="minorHAnsi"/>
                <w:b w:val="0"/>
                <w:sz w:val="18"/>
                <w:szCs w:val="18"/>
              </w:rPr>
              <w:t xml:space="preserve">a. No. hours leave </w:t>
            </w:r>
            <w:r>
              <w:rPr>
                <w:rFonts w:cstheme="minorHAnsi"/>
                <w:b w:val="0"/>
                <w:sz w:val="18"/>
                <w:szCs w:val="18"/>
              </w:rPr>
              <w:t xml:space="preserve">accrued </w:t>
            </w:r>
            <w:r w:rsidRPr="001A1BE7">
              <w:rPr>
                <w:rFonts w:cstheme="minorHAnsi"/>
                <w:b w:val="0"/>
                <w:sz w:val="18"/>
                <w:szCs w:val="18"/>
              </w:rPr>
              <w:t>in a year (hrs/</w:t>
            </w:r>
            <w:proofErr w:type="spellStart"/>
            <w:r w:rsidRPr="001A1BE7">
              <w:rPr>
                <w:rFonts w:cstheme="minorHAnsi"/>
                <w:b w:val="0"/>
                <w:sz w:val="18"/>
                <w:szCs w:val="18"/>
              </w:rPr>
              <w:t>yr</w:t>
            </w:r>
            <w:proofErr w:type="spellEnd"/>
            <w:r w:rsidRPr="001A1BE7">
              <w:rPr>
                <w:rFonts w:cstheme="minorHAnsi"/>
                <w:b w:val="0"/>
                <w:sz w:val="18"/>
                <w:szCs w:val="18"/>
              </w:rPr>
              <w:t>)</w:t>
            </w:r>
          </w:p>
        </w:tc>
        <w:tc>
          <w:tcPr>
            <w:tcW w:w="551" w:type="pct"/>
            <w:noWrap/>
          </w:tcPr>
          <w:p w14:paraId="6304A248"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32.93</w:t>
            </w:r>
          </w:p>
        </w:tc>
        <w:tc>
          <w:tcPr>
            <w:tcW w:w="550" w:type="pct"/>
          </w:tcPr>
          <w:p w14:paraId="43D29F43"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32.93</w:t>
            </w:r>
          </w:p>
        </w:tc>
        <w:tc>
          <w:tcPr>
            <w:tcW w:w="550" w:type="pct"/>
          </w:tcPr>
          <w:p w14:paraId="0234B7E4"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32.93</w:t>
            </w:r>
          </w:p>
        </w:tc>
        <w:tc>
          <w:tcPr>
            <w:tcW w:w="600" w:type="pct"/>
          </w:tcPr>
          <w:p w14:paraId="3B7F648B"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A1BE7">
              <w:rPr>
                <w:rFonts w:cstheme="minorHAnsi"/>
                <w:sz w:val="18"/>
                <w:szCs w:val="18"/>
              </w:rPr>
              <w:t>32.93</w:t>
            </w:r>
          </w:p>
        </w:tc>
      </w:tr>
      <w:tr w:rsidR="00975BC5" w14:paraId="7AC3218B" w14:textId="77777777" w:rsidTr="00D70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9" w:type="pct"/>
          </w:tcPr>
          <w:p w14:paraId="563463B8" w14:textId="77777777" w:rsidR="00975BC5" w:rsidRPr="001A1BE7" w:rsidRDefault="00975BC5" w:rsidP="00773F6C">
            <w:pPr>
              <w:spacing w:before="40" w:after="40" w:line="240" w:lineRule="atLeast"/>
              <w:ind w:left="593"/>
              <w:rPr>
                <w:rFonts w:cstheme="minorHAnsi"/>
                <w:b w:val="0"/>
                <w:sz w:val="18"/>
                <w:szCs w:val="18"/>
              </w:rPr>
            </w:pPr>
            <w:r w:rsidRPr="001A1BE7">
              <w:rPr>
                <w:rFonts w:cstheme="minorHAnsi"/>
                <w:b w:val="0"/>
                <w:sz w:val="18"/>
                <w:szCs w:val="18"/>
              </w:rPr>
              <w:t>b. Loading</w:t>
            </w:r>
          </w:p>
        </w:tc>
        <w:tc>
          <w:tcPr>
            <w:tcW w:w="551" w:type="pct"/>
            <w:noWrap/>
          </w:tcPr>
          <w:p w14:paraId="32E260D6"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0.0%</w:t>
            </w:r>
          </w:p>
        </w:tc>
        <w:tc>
          <w:tcPr>
            <w:tcW w:w="550" w:type="pct"/>
          </w:tcPr>
          <w:p w14:paraId="31A9C729"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0.0%</w:t>
            </w:r>
          </w:p>
        </w:tc>
        <w:tc>
          <w:tcPr>
            <w:tcW w:w="550" w:type="pct"/>
          </w:tcPr>
          <w:p w14:paraId="594A4C6E"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0.0%</w:t>
            </w:r>
          </w:p>
        </w:tc>
        <w:tc>
          <w:tcPr>
            <w:tcW w:w="600" w:type="pct"/>
          </w:tcPr>
          <w:p w14:paraId="1262FE51"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0.0%</w:t>
            </w:r>
          </w:p>
        </w:tc>
      </w:tr>
      <w:tr w:rsidR="00975BC5" w14:paraId="17661462" w14:textId="77777777" w:rsidTr="00D70AFD">
        <w:trPr>
          <w:trHeight w:val="300"/>
        </w:trPr>
        <w:tc>
          <w:tcPr>
            <w:cnfStyle w:val="001000000000" w:firstRow="0" w:lastRow="0" w:firstColumn="1" w:lastColumn="0" w:oddVBand="0" w:evenVBand="0" w:oddHBand="0" w:evenHBand="0" w:firstRowFirstColumn="0" w:firstRowLastColumn="0" w:lastRowFirstColumn="0" w:lastRowLastColumn="0"/>
            <w:tcW w:w="2749" w:type="pct"/>
          </w:tcPr>
          <w:p w14:paraId="2AEAD393" w14:textId="77777777" w:rsidR="00975BC5" w:rsidRPr="001A1BE7" w:rsidRDefault="00975BC5" w:rsidP="00773F6C">
            <w:pPr>
              <w:spacing w:before="40" w:after="40" w:line="240" w:lineRule="atLeast"/>
              <w:ind w:left="593"/>
              <w:rPr>
                <w:rFonts w:cstheme="minorHAnsi"/>
                <w:b w:val="0"/>
                <w:sz w:val="18"/>
                <w:szCs w:val="18"/>
              </w:rPr>
            </w:pPr>
            <w:r w:rsidRPr="001A1BE7">
              <w:rPr>
                <w:rFonts w:cstheme="minorHAnsi"/>
                <w:b w:val="0"/>
                <w:sz w:val="18"/>
                <w:szCs w:val="18"/>
              </w:rPr>
              <w:t>c. Proportion of leave taken</w:t>
            </w:r>
          </w:p>
        </w:tc>
        <w:tc>
          <w:tcPr>
            <w:tcW w:w="551" w:type="pct"/>
            <w:noWrap/>
          </w:tcPr>
          <w:p w14:paraId="0DC36E78"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100.0</w:t>
            </w:r>
            <w:r w:rsidRPr="001A1BE7">
              <w:rPr>
                <w:rFonts w:cstheme="minorHAnsi"/>
                <w:sz w:val="18"/>
                <w:szCs w:val="18"/>
              </w:rPr>
              <w:t>%</w:t>
            </w:r>
          </w:p>
        </w:tc>
        <w:tc>
          <w:tcPr>
            <w:tcW w:w="550" w:type="pct"/>
          </w:tcPr>
          <w:p w14:paraId="1D71B0B0"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100.0</w:t>
            </w:r>
            <w:r w:rsidRPr="001A1BE7">
              <w:rPr>
                <w:rFonts w:cstheme="minorHAnsi"/>
                <w:sz w:val="18"/>
                <w:szCs w:val="18"/>
              </w:rPr>
              <w:t>%</w:t>
            </w:r>
          </w:p>
        </w:tc>
        <w:tc>
          <w:tcPr>
            <w:tcW w:w="550" w:type="pct"/>
          </w:tcPr>
          <w:p w14:paraId="2D94012B"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100.0</w:t>
            </w:r>
            <w:r w:rsidRPr="001A1BE7">
              <w:rPr>
                <w:rFonts w:cstheme="minorHAnsi"/>
                <w:sz w:val="18"/>
                <w:szCs w:val="18"/>
              </w:rPr>
              <w:t>%</w:t>
            </w:r>
          </w:p>
        </w:tc>
        <w:tc>
          <w:tcPr>
            <w:tcW w:w="600" w:type="pct"/>
          </w:tcPr>
          <w:p w14:paraId="21FD8F10" w14:textId="77777777" w:rsidR="00975BC5"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100.0</w:t>
            </w:r>
            <w:r w:rsidRPr="001A1BE7">
              <w:rPr>
                <w:rFonts w:cstheme="minorHAnsi"/>
                <w:sz w:val="18"/>
                <w:szCs w:val="18"/>
              </w:rPr>
              <w:t>%</w:t>
            </w:r>
          </w:p>
        </w:tc>
      </w:tr>
      <w:tr w:rsidR="00975BC5" w14:paraId="25F98329" w14:textId="77777777" w:rsidTr="00D70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9" w:type="pct"/>
          </w:tcPr>
          <w:p w14:paraId="4228B696" w14:textId="77777777" w:rsidR="00975BC5" w:rsidRPr="001A1BE7" w:rsidRDefault="00975BC5" w:rsidP="00773F6C">
            <w:pPr>
              <w:spacing w:before="40" w:after="40" w:line="240" w:lineRule="atLeast"/>
              <w:ind w:left="593"/>
              <w:rPr>
                <w:rFonts w:cstheme="minorHAnsi"/>
                <w:sz w:val="18"/>
                <w:szCs w:val="18"/>
              </w:rPr>
            </w:pPr>
            <w:r>
              <w:rPr>
                <w:rFonts w:cstheme="minorHAnsi"/>
                <w:sz w:val="18"/>
                <w:szCs w:val="18"/>
              </w:rPr>
              <w:t>Cost per worked hour</w:t>
            </w:r>
          </w:p>
        </w:tc>
        <w:tc>
          <w:tcPr>
            <w:tcW w:w="551" w:type="pct"/>
            <w:noWrap/>
          </w:tcPr>
          <w:p w14:paraId="2EF1812B"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b/>
                <w:sz w:val="18"/>
                <w:szCs w:val="18"/>
              </w:rPr>
              <w:t>$0.</w:t>
            </w:r>
            <w:r>
              <w:rPr>
                <w:rFonts w:cstheme="minorHAnsi"/>
                <w:b/>
                <w:sz w:val="18"/>
                <w:szCs w:val="18"/>
              </w:rPr>
              <w:t>58</w:t>
            </w:r>
          </w:p>
        </w:tc>
        <w:tc>
          <w:tcPr>
            <w:tcW w:w="550" w:type="pct"/>
          </w:tcPr>
          <w:p w14:paraId="01F51EF3"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1A1BE7">
              <w:rPr>
                <w:rFonts w:cstheme="minorHAnsi"/>
                <w:b/>
                <w:sz w:val="18"/>
                <w:szCs w:val="18"/>
              </w:rPr>
              <w:t>$0.</w:t>
            </w:r>
            <w:r>
              <w:rPr>
                <w:rFonts w:cstheme="minorHAnsi"/>
                <w:b/>
                <w:sz w:val="18"/>
                <w:szCs w:val="18"/>
              </w:rPr>
              <w:t>60</w:t>
            </w:r>
          </w:p>
        </w:tc>
        <w:tc>
          <w:tcPr>
            <w:tcW w:w="550" w:type="pct"/>
          </w:tcPr>
          <w:p w14:paraId="33B0F8F7"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1A1BE7">
              <w:rPr>
                <w:rFonts w:cstheme="minorHAnsi"/>
                <w:b/>
                <w:sz w:val="18"/>
                <w:szCs w:val="18"/>
              </w:rPr>
              <w:t>$0.</w:t>
            </w:r>
            <w:r>
              <w:rPr>
                <w:rFonts w:cstheme="minorHAnsi"/>
                <w:b/>
                <w:sz w:val="18"/>
                <w:szCs w:val="18"/>
              </w:rPr>
              <w:t>63</w:t>
            </w:r>
          </w:p>
        </w:tc>
        <w:tc>
          <w:tcPr>
            <w:tcW w:w="600" w:type="pct"/>
          </w:tcPr>
          <w:p w14:paraId="274BE76A"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1A1BE7">
              <w:rPr>
                <w:rFonts w:cstheme="minorHAnsi"/>
                <w:b/>
                <w:sz w:val="18"/>
                <w:szCs w:val="18"/>
              </w:rPr>
              <w:t>$0.</w:t>
            </w:r>
            <w:r>
              <w:rPr>
                <w:rFonts w:cstheme="minorHAnsi"/>
                <w:b/>
                <w:sz w:val="18"/>
                <w:szCs w:val="18"/>
              </w:rPr>
              <w:t>76</w:t>
            </w:r>
          </w:p>
        </w:tc>
      </w:tr>
      <w:tr w:rsidR="00975BC5" w14:paraId="6694EDC4" w14:textId="77777777" w:rsidTr="00D70AFD">
        <w:trPr>
          <w:trHeight w:val="300"/>
        </w:trPr>
        <w:tc>
          <w:tcPr>
            <w:cnfStyle w:val="001000000000" w:firstRow="0" w:lastRow="0" w:firstColumn="1" w:lastColumn="0" w:oddVBand="0" w:evenVBand="0" w:oddHBand="0" w:evenHBand="0" w:firstRowFirstColumn="0" w:firstRowLastColumn="0" w:lastRowFirstColumn="0" w:lastRowLastColumn="0"/>
            <w:tcW w:w="2749" w:type="pct"/>
          </w:tcPr>
          <w:p w14:paraId="70297177" w14:textId="77777777" w:rsidR="00975BC5" w:rsidRPr="001A1BE7" w:rsidRDefault="00975BC5" w:rsidP="00773F6C">
            <w:pPr>
              <w:spacing w:before="40" w:after="40" w:line="240" w:lineRule="atLeast"/>
              <w:rPr>
                <w:rFonts w:cstheme="minorHAnsi"/>
                <w:sz w:val="18"/>
                <w:szCs w:val="18"/>
              </w:rPr>
            </w:pPr>
            <w:r>
              <w:rPr>
                <w:rFonts w:cstheme="minorHAnsi"/>
                <w:sz w:val="18"/>
                <w:szCs w:val="18"/>
              </w:rPr>
              <w:t>Cumulative cost per hour</w:t>
            </w:r>
            <w:r w:rsidRPr="001A1BE7">
              <w:rPr>
                <w:rFonts w:cstheme="minorHAnsi"/>
                <w:sz w:val="18"/>
                <w:szCs w:val="18"/>
              </w:rPr>
              <w:t xml:space="preserve">, </w:t>
            </w:r>
            <w:r>
              <w:rPr>
                <w:rFonts w:cstheme="minorHAnsi"/>
                <w:sz w:val="18"/>
                <w:szCs w:val="18"/>
              </w:rPr>
              <w:t>after</w:t>
            </w:r>
            <w:r w:rsidRPr="001A1BE7">
              <w:rPr>
                <w:rFonts w:cstheme="minorHAnsi"/>
                <w:sz w:val="18"/>
                <w:szCs w:val="18"/>
              </w:rPr>
              <w:t xml:space="preserve"> leave</w:t>
            </w:r>
            <w:r>
              <w:rPr>
                <w:rFonts w:cstheme="minorHAnsi"/>
                <w:sz w:val="18"/>
                <w:szCs w:val="18"/>
              </w:rPr>
              <w:t xml:space="preserve"> costs</w:t>
            </w:r>
          </w:p>
        </w:tc>
        <w:tc>
          <w:tcPr>
            <w:tcW w:w="551" w:type="pct"/>
            <w:noWrap/>
          </w:tcPr>
          <w:p w14:paraId="00F2DD91" w14:textId="77777777" w:rsidR="00975BC5" w:rsidRPr="001566A0"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1566A0">
              <w:rPr>
                <w:rFonts w:cstheme="minorHAnsi"/>
                <w:b/>
                <w:sz w:val="18"/>
                <w:szCs w:val="18"/>
              </w:rPr>
              <w:t>$</w:t>
            </w:r>
            <w:r>
              <w:rPr>
                <w:rFonts w:cstheme="minorHAnsi"/>
                <w:b/>
                <w:sz w:val="18"/>
                <w:szCs w:val="18"/>
              </w:rPr>
              <w:t>35.98</w:t>
            </w:r>
          </w:p>
        </w:tc>
        <w:tc>
          <w:tcPr>
            <w:tcW w:w="550" w:type="pct"/>
          </w:tcPr>
          <w:p w14:paraId="002AB68E"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1A1BE7">
              <w:rPr>
                <w:rFonts w:cstheme="minorHAnsi"/>
                <w:b/>
                <w:sz w:val="18"/>
                <w:szCs w:val="18"/>
              </w:rPr>
              <w:t xml:space="preserve"> $</w:t>
            </w:r>
            <w:r>
              <w:rPr>
                <w:rFonts w:cstheme="minorHAnsi"/>
                <w:b/>
                <w:sz w:val="18"/>
                <w:szCs w:val="18"/>
              </w:rPr>
              <w:t>37.35</w:t>
            </w:r>
            <w:r w:rsidRPr="001A1BE7">
              <w:rPr>
                <w:rFonts w:cstheme="minorHAnsi"/>
                <w:b/>
                <w:sz w:val="18"/>
                <w:szCs w:val="18"/>
              </w:rPr>
              <w:t xml:space="preserve"> </w:t>
            </w:r>
          </w:p>
        </w:tc>
        <w:tc>
          <w:tcPr>
            <w:tcW w:w="550" w:type="pct"/>
          </w:tcPr>
          <w:p w14:paraId="01AA25E1" w14:textId="77777777" w:rsidR="00975BC5" w:rsidRPr="001A1BE7"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Pr>
                <w:rFonts w:cstheme="minorHAnsi"/>
                <w:b/>
                <w:sz w:val="18"/>
                <w:szCs w:val="18"/>
              </w:rPr>
              <w:t>$38.86</w:t>
            </w:r>
          </w:p>
        </w:tc>
        <w:tc>
          <w:tcPr>
            <w:tcW w:w="600" w:type="pct"/>
          </w:tcPr>
          <w:p w14:paraId="777BE1DE" w14:textId="77777777" w:rsidR="00975BC5" w:rsidRDefault="00975BC5" w:rsidP="00773F6C">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Pr>
                <w:rFonts w:cstheme="minorHAnsi"/>
                <w:b/>
                <w:sz w:val="18"/>
                <w:szCs w:val="18"/>
              </w:rPr>
              <w:t>$46.68</w:t>
            </w:r>
          </w:p>
        </w:tc>
      </w:tr>
      <w:tr w:rsidR="00975BC5" w:rsidRPr="006258AE" w14:paraId="549476AD" w14:textId="77777777" w:rsidTr="00D70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9" w:type="pct"/>
          </w:tcPr>
          <w:p w14:paraId="7A7265AC" w14:textId="77777777" w:rsidR="00975BC5" w:rsidRPr="001A1BE7" w:rsidRDefault="00975BC5" w:rsidP="00773F6C">
            <w:pPr>
              <w:spacing w:before="40" w:after="40" w:line="240" w:lineRule="atLeast"/>
              <w:rPr>
                <w:rFonts w:cstheme="minorHAnsi"/>
                <w:b w:val="0"/>
                <w:sz w:val="18"/>
                <w:szCs w:val="18"/>
              </w:rPr>
            </w:pPr>
            <w:bookmarkStart w:id="20" w:name="OLE_LINK1"/>
            <w:r w:rsidRPr="001A1BE7">
              <w:rPr>
                <w:rFonts w:cstheme="minorHAnsi"/>
                <w:b w:val="0"/>
                <w:sz w:val="18"/>
                <w:szCs w:val="18"/>
              </w:rPr>
              <w:t xml:space="preserve">Increase from </w:t>
            </w:r>
            <w:r>
              <w:rPr>
                <w:rFonts w:cstheme="minorHAnsi"/>
                <w:b w:val="0"/>
                <w:sz w:val="18"/>
                <w:szCs w:val="18"/>
              </w:rPr>
              <w:t>permanent standard hourly rate</w:t>
            </w:r>
            <w:bookmarkEnd w:id="20"/>
          </w:p>
        </w:tc>
        <w:tc>
          <w:tcPr>
            <w:tcW w:w="551" w:type="pct"/>
            <w:noWrap/>
          </w:tcPr>
          <w:p w14:paraId="11B35FCA"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21.7%</w:t>
            </w:r>
          </w:p>
        </w:tc>
        <w:tc>
          <w:tcPr>
            <w:tcW w:w="550" w:type="pct"/>
          </w:tcPr>
          <w:p w14:paraId="296E75DE"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A1BE7">
              <w:rPr>
                <w:rFonts w:cstheme="minorHAnsi"/>
                <w:sz w:val="18"/>
                <w:szCs w:val="18"/>
              </w:rPr>
              <w:t>2</w:t>
            </w:r>
            <w:r>
              <w:rPr>
                <w:rFonts w:cstheme="minorHAnsi"/>
                <w:sz w:val="18"/>
                <w:szCs w:val="18"/>
              </w:rPr>
              <w:t>1.7</w:t>
            </w:r>
            <w:r w:rsidRPr="001A1BE7">
              <w:rPr>
                <w:rFonts w:cstheme="minorHAnsi"/>
                <w:sz w:val="18"/>
                <w:szCs w:val="18"/>
              </w:rPr>
              <w:t>%</w:t>
            </w:r>
          </w:p>
        </w:tc>
        <w:tc>
          <w:tcPr>
            <w:tcW w:w="550" w:type="pct"/>
          </w:tcPr>
          <w:p w14:paraId="0DAC82F1" w14:textId="77777777" w:rsidR="00975BC5" w:rsidRPr="001A1BE7"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21.7%</w:t>
            </w:r>
          </w:p>
        </w:tc>
        <w:tc>
          <w:tcPr>
            <w:tcW w:w="600" w:type="pct"/>
          </w:tcPr>
          <w:p w14:paraId="2E28215B" w14:textId="77777777" w:rsidR="00975BC5" w:rsidRDefault="00975BC5" w:rsidP="00773F6C">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21.8%</w:t>
            </w:r>
          </w:p>
        </w:tc>
      </w:tr>
    </w:tbl>
    <w:p w14:paraId="5E99A3C9" w14:textId="77777777" w:rsidR="000D2455" w:rsidRDefault="00BA3CDC" w:rsidP="006B0D9B">
      <w:pPr>
        <w:pStyle w:val="Heading2"/>
      </w:pPr>
      <w:bookmarkStart w:id="21" w:name="_Toc46398739"/>
      <w:r>
        <w:t xml:space="preserve">Salary </w:t>
      </w:r>
      <w:r w:rsidR="00B76D59">
        <w:t>On-costs</w:t>
      </w:r>
      <w:bookmarkEnd w:id="21"/>
    </w:p>
    <w:p w14:paraId="472D4729" w14:textId="77777777" w:rsidR="00735F60" w:rsidRDefault="00BA3CDC" w:rsidP="006B0D9B">
      <w:pPr>
        <w:keepNext/>
      </w:pPr>
      <w:r>
        <w:t xml:space="preserve">The </w:t>
      </w:r>
      <w:r w:rsidR="00E27A53">
        <w:t>Cost Model</w:t>
      </w:r>
      <w:r>
        <w:t xml:space="preserve"> recognises that providers incur othe</w:t>
      </w:r>
      <w:r w:rsidR="007751F4">
        <w:t xml:space="preserve">r costs related to the salaries, </w:t>
      </w:r>
      <w:r>
        <w:t>including:</w:t>
      </w:r>
    </w:p>
    <w:p w14:paraId="2F0FD460" w14:textId="77777777" w:rsidR="005C08A0" w:rsidRDefault="00BA3CDC" w:rsidP="00BA3CDC">
      <w:pPr>
        <w:pStyle w:val="ListParagraph"/>
        <w:numPr>
          <w:ilvl w:val="0"/>
          <w:numId w:val="12"/>
        </w:numPr>
      </w:pPr>
      <w:r>
        <w:t>Superannuation at the statutory</w:t>
      </w:r>
      <w:r w:rsidR="005C08A0">
        <w:t xml:space="preserve"> 9.5% of </w:t>
      </w:r>
      <w:r>
        <w:t xml:space="preserve">base salary, including </w:t>
      </w:r>
      <w:r w:rsidR="00711713">
        <w:t xml:space="preserve">while on </w:t>
      </w:r>
      <w:r>
        <w:t>leave;</w:t>
      </w:r>
      <w:r w:rsidR="005C08A0">
        <w:rPr>
          <w:rStyle w:val="FootnoteReference"/>
        </w:rPr>
        <w:footnoteReference w:id="16"/>
      </w:r>
      <w:r>
        <w:t xml:space="preserve"> </w:t>
      </w:r>
    </w:p>
    <w:p w14:paraId="0D53309C" w14:textId="77777777" w:rsidR="002C0178" w:rsidRDefault="00BA3CDC" w:rsidP="00BA3CDC">
      <w:pPr>
        <w:pStyle w:val="ListParagraph"/>
        <w:numPr>
          <w:ilvl w:val="0"/>
          <w:numId w:val="12"/>
        </w:numPr>
      </w:pPr>
      <w:r>
        <w:t xml:space="preserve">Workers compensation insurance at </w:t>
      </w:r>
      <w:r w:rsidR="009168ED">
        <w:t>1.7</w:t>
      </w:r>
      <w:r>
        <w:t xml:space="preserve">% of base salary, including </w:t>
      </w:r>
      <w:r w:rsidR="00711713">
        <w:t xml:space="preserve">while on </w:t>
      </w:r>
      <w:r>
        <w:t>leave</w:t>
      </w:r>
      <w:r w:rsidR="0086773C">
        <w:t>;</w:t>
      </w:r>
      <w:r w:rsidR="0086773C">
        <w:rPr>
          <w:rStyle w:val="FootnoteReference"/>
        </w:rPr>
        <w:footnoteReference w:id="17"/>
      </w:r>
      <w:r w:rsidR="0086773C">
        <w:t xml:space="preserve"> and</w:t>
      </w:r>
    </w:p>
    <w:p w14:paraId="4B7C79F5" w14:textId="77777777" w:rsidR="00B76D59" w:rsidRDefault="002C0178" w:rsidP="00BA3CDC">
      <w:pPr>
        <w:pStyle w:val="ListParagraph"/>
        <w:numPr>
          <w:ilvl w:val="0"/>
          <w:numId w:val="12"/>
        </w:numPr>
      </w:pPr>
      <w:r>
        <w:t>Employee allowances at 1.0% of base salary</w:t>
      </w:r>
      <w:r w:rsidR="009F6F9F">
        <w:t>.</w:t>
      </w:r>
      <w:r w:rsidR="008E57D4">
        <w:rPr>
          <w:rStyle w:val="FootnoteReference"/>
        </w:rPr>
        <w:footnoteReference w:id="18"/>
      </w:r>
    </w:p>
    <w:p w14:paraId="015F8912" w14:textId="77777777" w:rsidR="007751F4" w:rsidRDefault="007751F4" w:rsidP="007751F4">
      <w:r>
        <w:t xml:space="preserve">The </w:t>
      </w:r>
      <w:r w:rsidR="00E27A53">
        <w:t>Cost Model</w:t>
      </w:r>
      <w:r>
        <w:t xml:space="preserve"> does not provide for payroll tax as most jurisdictions exempt not</w:t>
      </w:r>
      <w:r w:rsidR="009168ED">
        <w:t>-</w:t>
      </w:r>
      <w:r>
        <w:t>for</w:t>
      </w:r>
      <w:r w:rsidR="009168ED">
        <w:t>-</w:t>
      </w:r>
      <w:r>
        <w:t>profit and smaller organisations from payroll tax.</w:t>
      </w:r>
      <w:r w:rsidRPr="00E41E33">
        <w:t xml:space="preserve"> </w:t>
      </w:r>
    </w:p>
    <w:p w14:paraId="491A1B94" w14:textId="478A7D9A" w:rsidR="000C7183" w:rsidRDefault="000C7183" w:rsidP="003C3A52">
      <w:pPr>
        <w:pStyle w:val="Caption"/>
      </w:pPr>
      <w:bookmarkStart w:id="22" w:name="_Ref19026849"/>
      <w:r w:rsidRPr="00975FC4">
        <w:t xml:space="preserve">Table </w:t>
      </w:r>
      <w:r w:rsidR="003777EA">
        <w:fldChar w:fldCharType="begin"/>
      </w:r>
      <w:r w:rsidR="003777EA">
        <w:instrText xml:space="preserve"> SEQ Table \* ARABIC </w:instrText>
      </w:r>
      <w:r w:rsidR="003777EA">
        <w:fldChar w:fldCharType="separate"/>
      </w:r>
      <w:r w:rsidR="003777EA">
        <w:rPr>
          <w:noProof/>
        </w:rPr>
        <w:t>4</w:t>
      </w:r>
      <w:r w:rsidR="003777EA">
        <w:rPr>
          <w:noProof/>
        </w:rPr>
        <w:fldChar w:fldCharType="end"/>
      </w:r>
      <w:bookmarkEnd w:id="22"/>
      <w:r w:rsidRPr="00975FC4">
        <w:t xml:space="preserve">: </w:t>
      </w:r>
      <w:r>
        <w:t>Impact o</w:t>
      </w:r>
      <w:r w:rsidR="00BA3CDC">
        <w:t>f Salary O</w:t>
      </w:r>
      <w:r>
        <w:t xml:space="preserve">n-costs on </w:t>
      </w:r>
      <w:r w:rsidR="00BA3CDC">
        <w:t xml:space="preserve">the </w:t>
      </w:r>
      <w:r w:rsidR="00216517">
        <w:t xml:space="preserve">Cost per </w:t>
      </w:r>
      <w:r w:rsidR="0086773C">
        <w:t>Worked</w:t>
      </w:r>
      <w:r w:rsidR="00216517">
        <w:t xml:space="preserve"> Hour</w:t>
      </w:r>
      <w:r w:rsidR="00BA3CDC">
        <w:t xml:space="preserve"> of </w:t>
      </w:r>
      <w:r w:rsidR="00216517">
        <w:t xml:space="preserve">a </w:t>
      </w:r>
      <w:r w:rsidR="00BA3CDC">
        <w:t>Permanent DSW</w:t>
      </w:r>
    </w:p>
    <w:tbl>
      <w:tblPr>
        <w:tblStyle w:val="GridTable4-Accent4"/>
        <w:tblW w:w="5000" w:type="pct"/>
        <w:tblLook w:val="04A0" w:firstRow="1" w:lastRow="0" w:firstColumn="1" w:lastColumn="0" w:noHBand="0" w:noVBand="1"/>
        <w:tblDescription w:val="Table 4: Impact of Salary On-costs on the Cost per Worked Hour of a Permanent DSW"/>
      </w:tblPr>
      <w:tblGrid>
        <w:gridCol w:w="4954"/>
        <w:gridCol w:w="994"/>
        <w:gridCol w:w="992"/>
        <w:gridCol w:w="992"/>
        <w:gridCol w:w="1084"/>
      </w:tblGrid>
      <w:tr w:rsidR="00996565" w:rsidRPr="003A3C03" w14:paraId="751CFD2A" w14:textId="77777777" w:rsidTr="00996565">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747" w:type="pct"/>
            <w:hideMark/>
          </w:tcPr>
          <w:p w14:paraId="09A0E4C5" w14:textId="77777777" w:rsidR="00996565" w:rsidRPr="001A1BE7" w:rsidRDefault="00996565" w:rsidP="008238F3">
            <w:pPr>
              <w:spacing w:before="40" w:after="40" w:line="240" w:lineRule="atLeast"/>
              <w:rPr>
                <w:rFonts w:cstheme="minorHAnsi"/>
                <w:sz w:val="18"/>
                <w:szCs w:val="18"/>
              </w:rPr>
            </w:pPr>
          </w:p>
        </w:tc>
        <w:tc>
          <w:tcPr>
            <w:tcW w:w="551" w:type="pct"/>
            <w:hideMark/>
          </w:tcPr>
          <w:p w14:paraId="7C751D00" w14:textId="77777777" w:rsidR="00996565" w:rsidRPr="001A1BE7" w:rsidRDefault="00996565" w:rsidP="008238F3">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1</w:t>
            </w:r>
          </w:p>
        </w:tc>
        <w:tc>
          <w:tcPr>
            <w:tcW w:w="550" w:type="pct"/>
          </w:tcPr>
          <w:p w14:paraId="33E6751F" w14:textId="77777777" w:rsidR="00996565" w:rsidRPr="001A1BE7" w:rsidRDefault="00996565" w:rsidP="008238F3">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Pr>
                <w:rFonts w:cstheme="minorHAnsi"/>
                <w:sz w:val="18"/>
                <w:szCs w:val="18"/>
              </w:rPr>
              <w:t>DSW 2</w:t>
            </w:r>
          </w:p>
        </w:tc>
        <w:tc>
          <w:tcPr>
            <w:tcW w:w="550" w:type="pct"/>
          </w:tcPr>
          <w:p w14:paraId="2B28044C" w14:textId="77777777" w:rsidR="00996565" w:rsidRPr="001A1BE7" w:rsidRDefault="00996565" w:rsidP="008238F3">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3</w:t>
            </w:r>
          </w:p>
        </w:tc>
        <w:tc>
          <w:tcPr>
            <w:tcW w:w="601" w:type="pct"/>
          </w:tcPr>
          <w:p w14:paraId="3939AFE0" w14:textId="77777777" w:rsidR="00996565" w:rsidRDefault="00996565" w:rsidP="008238F3">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4</w:t>
            </w:r>
          </w:p>
        </w:tc>
      </w:tr>
      <w:tr w:rsidR="00975BC5" w14:paraId="58F159A8"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hideMark/>
          </w:tcPr>
          <w:p w14:paraId="74291776" w14:textId="77777777" w:rsidR="00975BC5" w:rsidRPr="001A1BE7" w:rsidRDefault="00975BC5" w:rsidP="000D4540">
            <w:pPr>
              <w:keepNext/>
              <w:spacing w:before="40" w:after="40" w:line="240" w:lineRule="atLeast"/>
              <w:rPr>
                <w:rFonts w:cstheme="minorHAnsi"/>
                <w:sz w:val="18"/>
                <w:szCs w:val="18"/>
              </w:rPr>
            </w:pPr>
            <w:r>
              <w:rPr>
                <w:rFonts w:cstheme="minorHAnsi"/>
                <w:sz w:val="18"/>
                <w:szCs w:val="18"/>
              </w:rPr>
              <w:t>Cumulative cost per hour, before on-costs</w:t>
            </w:r>
          </w:p>
        </w:tc>
        <w:tc>
          <w:tcPr>
            <w:tcW w:w="551" w:type="pct"/>
            <w:noWrap/>
            <w:hideMark/>
          </w:tcPr>
          <w:p w14:paraId="6775F696" w14:textId="77777777" w:rsidR="00975BC5" w:rsidRPr="001A1BE7" w:rsidRDefault="00975BC5" w:rsidP="000D4540">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1566A0">
              <w:rPr>
                <w:rFonts w:cstheme="minorHAnsi"/>
                <w:b/>
                <w:sz w:val="18"/>
                <w:szCs w:val="18"/>
              </w:rPr>
              <w:t>$</w:t>
            </w:r>
            <w:r>
              <w:rPr>
                <w:rFonts w:cstheme="minorHAnsi"/>
                <w:b/>
                <w:sz w:val="18"/>
                <w:szCs w:val="18"/>
              </w:rPr>
              <w:t>35.98</w:t>
            </w:r>
          </w:p>
        </w:tc>
        <w:tc>
          <w:tcPr>
            <w:tcW w:w="550" w:type="pct"/>
          </w:tcPr>
          <w:p w14:paraId="3381C7E9" w14:textId="77777777" w:rsidR="00975BC5" w:rsidRPr="001A1BE7" w:rsidRDefault="00975BC5" w:rsidP="000D4540">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lang w:eastAsia="en-AU"/>
              </w:rPr>
            </w:pPr>
            <w:r w:rsidRPr="001A1BE7">
              <w:rPr>
                <w:rFonts w:cstheme="minorHAnsi"/>
                <w:b/>
                <w:sz w:val="18"/>
                <w:szCs w:val="18"/>
              </w:rPr>
              <w:t xml:space="preserve"> $</w:t>
            </w:r>
            <w:r>
              <w:rPr>
                <w:rFonts w:cstheme="minorHAnsi"/>
                <w:b/>
                <w:sz w:val="18"/>
                <w:szCs w:val="18"/>
              </w:rPr>
              <w:t>37.35</w:t>
            </w:r>
            <w:r w:rsidRPr="001A1BE7">
              <w:rPr>
                <w:rFonts w:cstheme="minorHAnsi"/>
                <w:b/>
                <w:sz w:val="18"/>
                <w:szCs w:val="18"/>
              </w:rPr>
              <w:t xml:space="preserve"> </w:t>
            </w:r>
          </w:p>
        </w:tc>
        <w:tc>
          <w:tcPr>
            <w:tcW w:w="550" w:type="pct"/>
          </w:tcPr>
          <w:p w14:paraId="14DF134F" w14:textId="77777777" w:rsidR="00975BC5" w:rsidRPr="001A1BE7" w:rsidRDefault="00975BC5" w:rsidP="000D4540">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$38.86</w:t>
            </w:r>
          </w:p>
        </w:tc>
        <w:tc>
          <w:tcPr>
            <w:tcW w:w="601" w:type="pct"/>
          </w:tcPr>
          <w:p w14:paraId="4CF4731F" w14:textId="77777777" w:rsidR="00975BC5" w:rsidRDefault="00975BC5" w:rsidP="000D4540">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$46.68</w:t>
            </w:r>
          </w:p>
        </w:tc>
      </w:tr>
      <w:tr w:rsidR="00975BC5" w14:paraId="0401E91A"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hideMark/>
          </w:tcPr>
          <w:p w14:paraId="3E09635D" w14:textId="77777777" w:rsidR="00975BC5" w:rsidRPr="001A1BE7" w:rsidRDefault="00975BC5" w:rsidP="000D4540">
            <w:pPr>
              <w:spacing w:before="40" w:after="40" w:line="240" w:lineRule="atLeast"/>
              <w:rPr>
                <w:rFonts w:cstheme="minorHAnsi"/>
                <w:sz w:val="18"/>
                <w:szCs w:val="18"/>
              </w:rPr>
            </w:pPr>
            <w:r>
              <w:rPr>
                <w:rFonts w:cstheme="minorHAnsi"/>
                <w:sz w:val="18"/>
                <w:szCs w:val="18"/>
              </w:rPr>
              <w:t>Superannuation</w:t>
            </w:r>
          </w:p>
        </w:tc>
        <w:tc>
          <w:tcPr>
            <w:tcW w:w="551" w:type="pct"/>
            <w:noWrap/>
            <w:vAlign w:val="center"/>
            <w:hideMark/>
          </w:tcPr>
          <w:p w14:paraId="0935BEC1" w14:textId="77777777" w:rsidR="00975BC5" w:rsidRPr="001A1BE7" w:rsidRDefault="00975BC5" w:rsidP="000D4540">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vAlign w:val="center"/>
          </w:tcPr>
          <w:p w14:paraId="6DE3AF07" w14:textId="77777777" w:rsidR="00975BC5" w:rsidRPr="001A1BE7" w:rsidRDefault="00975BC5" w:rsidP="000D4540">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18"/>
                <w:szCs w:val="18"/>
                <w:lang w:eastAsia="en-AU"/>
              </w:rPr>
            </w:pPr>
          </w:p>
        </w:tc>
        <w:tc>
          <w:tcPr>
            <w:tcW w:w="550" w:type="pct"/>
            <w:vAlign w:val="center"/>
          </w:tcPr>
          <w:p w14:paraId="52BE933B" w14:textId="77777777" w:rsidR="00975BC5" w:rsidRPr="001A1BE7" w:rsidRDefault="00975BC5" w:rsidP="000D4540">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601" w:type="pct"/>
          </w:tcPr>
          <w:p w14:paraId="742329A7" w14:textId="77777777" w:rsidR="00975BC5" w:rsidRPr="001A1BE7" w:rsidRDefault="00975BC5" w:rsidP="000D4540">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r>
      <w:tr w:rsidR="00975BC5" w14:paraId="2550011F"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5858409E" w14:textId="77777777" w:rsidR="00975BC5" w:rsidRPr="005C6DDE" w:rsidRDefault="00975BC5" w:rsidP="007075DE">
            <w:pPr>
              <w:spacing w:before="40" w:after="40" w:line="240" w:lineRule="atLeast"/>
              <w:ind w:left="593"/>
              <w:rPr>
                <w:rFonts w:cstheme="minorHAnsi"/>
                <w:b w:val="0"/>
                <w:sz w:val="18"/>
                <w:szCs w:val="18"/>
              </w:rPr>
            </w:pPr>
            <w:r w:rsidRPr="005C6DDE">
              <w:rPr>
                <w:rFonts w:cstheme="minorHAnsi"/>
                <w:b w:val="0"/>
                <w:sz w:val="18"/>
                <w:szCs w:val="18"/>
              </w:rPr>
              <w:t>Superannuation Rate (%)</w:t>
            </w:r>
          </w:p>
        </w:tc>
        <w:tc>
          <w:tcPr>
            <w:tcW w:w="551" w:type="pct"/>
            <w:noWrap/>
            <w:vAlign w:val="center"/>
          </w:tcPr>
          <w:p w14:paraId="4CB3D3C0" w14:textId="77777777" w:rsidR="00975BC5" w:rsidRPr="005C6DDE"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9.5%</w:t>
            </w:r>
          </w:p>
        </w:tc>
        <w:tc>
          <w:tcPr>
            <w:tcW w:w="550" w:type="pct"/>
            <w:vAlign w:val="center"/>
          </w:tcPr>
          <w:p w14:paraId="29CF4B3C" w14:textId="77777777" w:rsidR="00975BC5" w:rsidRPr="005C6DDE"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9.5%</w:t>
            </w:r>
          </w:p>
        </w:tc>
        <w:tc>
          <w:tcPr>
            <w:tcW w:w="550" w:type="pct"/>
            <w:vAlign w:val="center"/>
          </w:tcPr>
          <w:p w14:paraId="10861883" w14:textId="77777777" w:rsidR="00975BC5" w:rsidRPr="005C6DDE"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9.5%</w:t>
            </w:r>
          </w:p>
        </w:tc>
        <w:tc>
          <w:tcPr>
            <w:tcW w:w="601" w:type="pct"/>
            <w:vAlign w:val="center"/>
          </w:tcPr>
          <w:p w14:paraId="036719A8" w14:textId="77777777" w:rsidR="00975BC5"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9.5%</w:t>
            </w:r>
          </w:p>
        </w:tc>
      </w:tr>
      <w:tr w:rsidR="00975BC5" w14:paraId="723BB99F"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0947D9DB" w14:textId="77777777" w:rsidR="00975BC5" w:rsidRPr="005C6DDE" w:rsidRDefault="00975BC5" w:rsidP="007075DE">
            <w:pPr>
              <w:spacing w:before="40" w:after="40" w:line="240" w:lineRule="atLeast"/>
              <w:ind w:left="593"/>
              <w:rPr>
                <w:rFonts w:cstheme="minorHAnsi"/>
                <w:b w:val="0"/>
                <w:sz w:val="18"/>
                <w:szCs w:val="18"/>
              </w:rPr>
            </w:pPr>
            <w:r w:rsidRPr="005C6DDE">
              <w:rPr>
                <w:rFonts w:cstheme="minorHAnsi"/>
                <w:b w:val="0"/>
                <w:sz w:val="18"/>
                <w:szCs w:val="18"/>
              </w:rPr>
              <w:t>Superannuation ($)</w:t>
            </w:r>
          </w:p>
        </w:tc>
        <w:tc>
          <w:tcPr>
            <w:tcW w:w="551" w:type="pct"/>
            <w:noWrap/>
            <w:vAlign w:val="center"/>
          </w:tcPr>
          <w:p w14:paraId="247D6700" w14:textId="77777777" w:rsidR="00975BC5" w:rsidRPr="005C6DDE"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$3.42</w:t>
            </w:r>
          </w:p>
        </w:tc>
        <w:tc>
          <w:tcPr>
            <w:tcW w:w="550" w:type="pct"/>
            <w:vAlign w:val="center"/>
          </w:tcPr>
          <w:p w14:paraId="79E52691" w14:textId="77777777" w:rsidR="00975BC5" w:rsidRPr="005C6DDE"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$3.55</w:t>
            </w:r>
          </w:p>
        </w:tc>
        <w:tc>
          <w:tcPr>
            <w:tcW w:w="550" w:type="pct"/>
            <w:vAlign w:val="center"/>
          </w:tcPr>
          <w:p w14:paraId="67057206" w14:textId="77777777" w:rsidR="00975BC5" w:rsidRPr="005C6DDE"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$3.69</w:t>
            </w:r>
          </w:p>
        </w:tc>
        <w:tc>
          <w:tcPr>
            <w:tcW w:w="601" w:type="pct"/>
            <w:vAlign w:val="center"/>
          </w:tcPr>
          <w:p w14:paraId="56F43901" w14:textId="77777777" w:rsidR="00975BC5"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$4.43</w:t>
            </w:r>
          </w:p>
        </w:tc>
      </w:tr>
      <w:tr w:rsidR="00975BC5" w14:paraId="529B6B15"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784CF5EE" w14:textId="77777777" w:rsidR="00975BC5" w:rsidRPr="005C6DDE" w:rsidRDefault="00975BC5" w:rsidP="007075DE">
            <w:pPr>
              <w:spacing w:before="40" w:after="40" w:line="240" w:lineRule="atLeast"/>
              <w:rPr>
                <w:rFonts w:cstheme="minorHAnsi"/>
                <w:sz w:val="18"/>
                <w:szCs w:val="18"/>
              </w:rPr>
            </w:pPr>
            <w:r>
              <w:rPr>
                <w:rFonts w:cstheme="minorHAnsi"/>
                <w:sz w:val="18"/>
                <w:szCs w:val="18"/>
              </w:rPr>
              <w:t>Workers Compensation</w:t>
            </w:r>
          </w:p>
        </w:tc>
        <w:tc>
          <w:tcPr>
            <w:tcW w:w="551" w:type="pct"/>
            <w:noWrap/>
            <w:vAlign w:val="center"/>
          </w:tcPr>
          <w:p w14:paraId="3B839E54" w14:textId="77777777" w:rsidR="00975BC5" w:rsidRPr="005C6DDE"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550" w:type="pct"/>
            <w:vAlign w:val="center"/>
          </w:tcPr>
          <w:p w14:paraId="435DC186" w14:textId="77777777" w:rsidR="00975BC5" w:rsidRPr="005C6DDE"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550" w:type="pct"/>
            <w:vAlign w:val="center"/>
          </w:tcPr>
          <w:p w14:paraId="7ED616AE" w14:textId="77777777" w:rsidR="00975BC5" w:rsidRPr="005C6DDE"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601" w:type="pct"/>
            <w:vAlign w:val="center"/>
          </w:tcPr>
          <w:p w14:paraId="76310BB7" w14:textId="77777777" w:rsidR="00975BC5" w:rsidRPr="005C6DDE"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975BC5" w14:paraId="5A29FE01"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2F67EB5B" w14:textId="77777777" w:rsidR="00975BC5" w:rsidRPr="005C6DDE" w:rsidRDefault="00975BC5" w:rsidP="007075DE">
            <w:pPr>
              <w:spacing w:before="40" w:after="40" w:line="240" w:lineRule="atLeast"/>
              <w:ind w:left="593"/>
              <w:rPr>
                <w:rFonts w:cstheme="minorHAnsi"/>
                <w:b w:val="0"/>
                <w:sz w:val="18"/>
                <w:szCs w:val="18"/>
              </w:rPr>
            </w:pPr>
            <w:r>
              <w:rPr>
                <w:rFonts w:cstheme="minorHAnsi"/>
                <w:b w:val="0"/>
                <w:sz w:val="18"/>
                <w:szCs w:val="18"/>
              </w:rPr>
              <w:t xml:space="preserve">Premium </w:t>
            </w:r>
            <w:r w:rsidRPr="005C6DDE">
              <w:rPr>
                <w:rFonts w:cstheme="minorHAnsi"/>
                <w:b w:val="0"/>
                <w:sz w:val="18"/>
                <w:szCs w:val="18"/>
              </w:rPr>
              <w:t>Rate (%)</w:t>
            </w:r>
          </w:p>
        </w:tc>
        <w:tc>
          <w:tcPr>
            <w:tcW w:w="551" w:type="pct"/>
            <w:noWrap/>
            <w:vAlign w:val="center"/>
          </w:tcPr>
          <w:p w14:paraId="40BCDD06" w14:textId="77777777" w:rsidR="00975BC5" w:rsidRPr="005C6DDE"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1.7%</w:t>
            </w:r>
          </w:p>
        </w:tc>
        <w:tc>
          <w:tcPr>
            <w:tcW w:w="550" w:type="pct"/>
            <w:vAlign w:val="center"/>
          </w:tcPr>
          <w:p w14:paraId="2877F64A" w14:textId="77777777" w:rsidR="00975BC5" w:rsidRPr="005C6DDE"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1.7%</w:t>
            </w:r>
          </w:p>
        </w:tc>
        <w:tc>
          <w:tcPr>
            <w:tcW w:w="550" w:type="pct"/>
            <w:vAlign w:val="center"/>
          </w:tcPr>
          <w:p w14:paraId="1D3036D2" w14:textId="77777777" w:rsidR="00975BC5" w:rsidRPr="005C6DDE"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1.7%</w:t>
            </w:r>
          </w:p>
        </w:tc>
        <w:tc>
          <w:tcPr>
            <w:tcW w:w="601" w:type="pct"/>
            <w:vAlign w:val="center"/>
          </w:tcPr>
          <w:p w14:paraId="5DB3EA22" w14:textId="77777777" w:rsidR="00975BC5"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1.7%</w:t>
            </w:r>
          </w:p>
        </w:tc>
      </w:tr>
      <w:tr w:rsidR="00975BC5" w14:paraId="75670543"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18025C89" w14:textId="77777777" w:rsidR="00975BC5" w:rsidRPr="005C6DDE" w:rsidRDefault="00975BC5" w:rsidP="007075DE">
            <w:pPr>
              <w:spacing w:before="40" w:after="40" w:line="240" w:lineRule="atLeast"/>
              <w:ind w:left="593"/>
              <w:rPr>
                <w:rFonts w:cstheme="minorHAnsi"/>
                <w:b w:val="0"/>
                <w:sz w:val="18"/>
                <w:szCs w:val="18"/>
              </w:rPr>
            </w:pPr>
            <w:r>
              <w:rPr>
                <w:rFonts w:cstheme="minorHAnsi"/>
                <w:b w:val="0"/>
                <w:sz w:val="18"/>
                <w:szCs w:val="18"/>
              </w:rPr>
              <w:t>Premium Cost</w:t>
            </w:r>
            <w:r w:rsidRPr="005C6DDE">
              <w:rPr>
                <w:rFonts w:cstheme="minorHAnsi"/>
                <w:b w:val="0"/>
                <w:sz w:val="18"/>
                <w:szCs w:val="18"/>
              </w:rPr>
              <w:t xml:space="preserve"> ($)</w:t>
            </w:r>
          </w:p>
        </w:tc>
        <w:tc>
          <w:tcPr>
            <w:tcW w:w="551" w:type="pct"/>
            <w:noWrap/>
            <w:vAlign w:val="center"/>
          </w:tcPr>
          <w:p w14:paraId="2DA4A406" w14:textId="77777777" w:rsidR="00975BC5" w:rsidRPr="005C6DDE"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$0.61</w:t>
            </w:r>
          </w:p>
        </w:tc>
        <w:tc>
          <w:tcPr>
            <w:tcW w:w="550" w:type="pct"/>
            <w:vAlign w:val="center"/>
          </w:tcPr>
          <w:p w14:paraId="2035531F" w14:textId="77777777" w:rsidR="00975BC5" w:rsidRPr="005C6DDE"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$0.64</w:t>
            </w:r>
          </w:p>
        </w:tc>
        <w:tc>
          <w:tcPr>
            <w:tcW w:w="550" w:type="pct"/>
            <w:vAlign w:val="center"/>
          </w:tcPr>
          <w:p w14:paraId="38C2970A" w14:textId="77777777" w:rsidR="00975BC5" w:rsidRPr="005C6DDE"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$0.66</w:t>
            </w:r>
          </w:p>
        </w:tc>
        <w:tc>
          <w:tcPr>
            <w:tcW w:w="601" w:type="pct"/>
            <w:vAlign w:val="center"/>
          </w:tcPr>
          <w:p w14:paraId="1C293F1D" w14:textId="77777777" w:rsidR="00975BC5"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$0.79</w:t>
            </w:r>
          </w:p>
        </w:tc>
      </w:tr>
      <w:tr w:rsidR="00975BC5" w:rsidRPr="005C6DDE" w14:paraId="2755ABC9"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0C41D15B" w14:textId="77777777" w:rsidR="00975BC5" w:rsidRPr="002C0178" w:rsidRDefault="00975BC5" w:rsidP="007075DE">
            <w:pPr>
              <w:spacing w:before="40" w:after="40" w:line="240" w:lineRule="atLeast"/>
              <w:rPr>
                <w:rFonts w:cstheme="minorHAnsi"/>
                <w:sz w:val="18"/>
                <w:szCs w:val="18"/>
              </w:rPr>
            </w:pPr>
            <w:r w:rsidRPr="002C0178">
              <w:rPr>
                <w:rFonts w:cstheme="minorHAnsi"/>
                <w:sz w:val="18"/>
                <w:szCs w:val="18"/>
              </w:rPr>
              <w:t>Employee Allowances</w:t>
            </w:r>
          </w:p>
        </w:tc>
        <w:tc>
          <w:tcPr>
            <w:tcW w:w="551" w:type="pct"/>
            <w:noWrap/>
            <w:vAlign w:val="center"/>
          </w:tcPr>
          <w:p w14:paraId="540946D5" w14:textId="77777777" w:rsidR="00975BC5"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550" w:type="pct"/>
            <w:vAlign w:val="center"/>
          </w:tcPr>
          <w:p w14:paraId="02EF2AC1" w14:textId="77777777" w:rsidR="00975BC5"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550" w:type="pct"/>
            <w:vAlign w:val="center"/>
          </w:tcPr>
          <w:p w14:paraId="2C47EBA2" w14:textId="77777777" w:rsidR="00975BC5"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c>
          <w:tcPr>
            <w:tcW w:w="601" w:type="pct"/>
            <w:vAlign w:val="center"/>
          </w:tcPr>
          <w:p w14:paraId="5E275E33" w14:textId="77777777" w:rsidR="00975BC5"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tc>
      </w:tr>
      <w:tr w:rsidR="00975BC5" w:rsidRPr="005C6DDE" w14:paraId="7E98C4B7"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1CAC0F05" w14:textId="77777777" w:rsidR="00975BC5" w:rsidRPr="004E6680" w:rsidRDefault="00975BC5" w:rsidP="007075DE">
            <w:pPr>
              <w:spacing w:before="40" w:after="40" w:line="240" w:lineRule="atLeast"/>
              <w:ind w:left="595"/>
              <w:rPr>
                <w:rFonts w:cstheme="minorHAnsi"/>
                <w:b w:val="0"/>
                <w:sz w:val="18"/>
                <w:szCs w:val="18"/>
              </w:rPr>
            </w:pPr>
            <w:r w:rsidRPr="004E6680">
              <w:rPr>
                <w:rFonts w:cstheme="minorHAnsi"/>
                <w:b w:val="0"/>
                <w:sz w:val="18"/>
                <w:szCs w:val="18"/>
              </w:rPr>
              <w:t>Allowance Rate (%)</w:t>
            </w:r>
          </w:p>
        </w:tc>
        <w:tc>
          <w:tcPr>
            <w:tcW w:w="551" w:type="pct"/>
            <w:noWrap/>
            <w:vAlign w:val="center"/>
          </w:tcPr>
          <w:p w14:paraId="0FC8F3DC" w14:textId="77777777" w:rsidR="00975BC5" w:rsidRPr="002C16A4"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C16A4">
              <w:rPr>
                <w:rFonts w:cstheme="minorHAnsi"/>
                <w:sz w:val="18"/>
                <w:szCs w:val="18"/>
              </w:rPr>
              <w:t>1.0%</w:t>
            </w:r>
          </w:p>
        </w:tc>
        <w:tc>
          <w:tcPr>
            <w:tcW w:w="550" w:type="pct"/>
            <w:vAlign w:val="center"/>
          </w:tcPr>
          <w:p w14:paraId="2B3FE583" w14:textId="77777777" w:rsidR="00975BC5"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8C45F6">
              <w:rPr>
                <w:rFonts w:cstheme="minorHAnsi"/>
                <w:sz w:val="18"/>
                <w:szCs w:val="18"/>
              </w:rPr>
              <w:t>1.0%</w:t>
            </w:r>
          </w:p>
        </w:tc>
        <w:tc>
          <w:tcPr>
            <w:tcW w:w="550" w:type="pct"/>
            <w:vAlign w:val="center"/>
          </w:tcPr>
          <w:p w14:paraId="4D549AF8" w14:textId="77777777" w:rsidR="00975BC5"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8C45F6">
              <w:rPr>
                <w:rFonts w:cstheme="minorHAnsi"/>
                <w:sz w:val="18"/>
                <w:szCs w:val="18"/>
              </w:rPr>
              <w:t>1.0%</w:t>
            </w:r>
          </w:p>
        </w:tc>
        <w:tc>
          <w:tcPr>
            <w:tcW w:w="601" w:type="pct"/>
            <w:vAlign w:val="center"/>
          </w:tcPr>
          <w:p w14:paraId="41CA07C4" w14:textId="77777777" w:rsidR="00975BC5" w:rsidRPr="008C45F6"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C45F6">
              <w:rPr>
                <w:rFonts w:cstheme="minorHAnsi"/>
                <w:sz w:val="18"/>
                <w:szCs w:val="18"/>
              </w:rPr>
              <w:t>1.0%</w:t>
            </w:r>
          </w:p>
        </w:tc>
      </w:tr>
      <w:tr w:rsidR="00975BC5" w:rsidRPr="005C6DDE" w14:paraId="2019B615"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45BF8A81" w14:textId="77777777" w:rsidR="00975BC5" w:rsidRPr="005C6DDE" w:rsidRDefault="00975BC5" w:rsidP="001E5445">
            <w:pPr>
              <w:spacing w:before="40" w:after="40" w:line="240" w:lineRule="atLeast"/>
              <w:ind w:left="595"/>
              <w:rPr>
                <w:rFonts w:cstheme="minorHAnsi"/>
                <w:sz w:val="18"/>
                <w:szCs w:val="18"/>
              </w:rPr>
            </w:pPr>
            <w:r w:rsidRPr="008C45F6">
              <w:rPr>
                <w:rFonts w:cstheme="minorHAnsi"/>
                <w:b w:val="0"/>
                <w:sz w:val="18"/>
                <w:szCs w:val="18"/>
              </w:rPr>
              <w:t xml:space="preserve">Allowance </w:t>
            </w:r>
            <w:r>
              <w:rPr>
                <w:rFonts w:cstheme="minorHAnsi"/>
                <w:b w:val="0"/>
                <w:sz w:val="18"/>
                <w:szCs w:val="18"/>
              </w:rPr>
              <w:t xml:space="preserve">Cost </w:t>
            </w:r>
            <w:r w:rsidR="001E5445" w:rsidRPr="008C45F6">
              <w:rPr>
                <w:rFonts w:cstheme="minorHAnsi"/>
                <w:b w:val="0"/>
                <w:sz w:val="18"/>
                <w:szCs w:val="18"/>
              </w:rPr>
              <w:t>(</w:t>
            </w:r>
            <w:r w:rsidR="001E5445">
              <w:rPr>
                <w:rFonts w:cstheme="minorHAnsi"/>
                <w:b w:val="0"/>
                <w:sz w:val="18"/>
                <w:szCs w:val="18"/>
              </w:rPr>
              <w:t>$</w:t>
            </w:r>
            <w:r w:rsidR="001E5445" w:rsidRPr="008C45F6">
              <w:rPr>
                <w:rFonts w:cstheme="minorHAnsi"/>
                <w:b w:val="0"/>
                <w:sz w:val="18"/>
                <w:szCs w:val="18"/>
              </w:rPr>
              <w:t>)</w:t>
            </w:r>
          </w:p>
        </w:tc>
        <w:tc>
          <w:tcPr>
            <w:tcW w:w="551" w:type="pct"/>
            <w:noWrap/>
            <w:vAlign w:val="center"/>
          </w:tcPr>
          <w:p w14:paraId="6031519A" w14:textId="77777777" w:rsidR="00975BC5"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Pr>
                <w:rFonts w:cstheme="minorHAnsi"/>
                <w:sz w:val="18"/>
                <w:szCs w:val="18"/>
              </w:rPr>
              <w:t>$0.30</w:t>
            </w:r>
          </w:p>
        </w:tc>
        <w:tc>
          <w:tcPr>
            <w:tcW w:w="550" w:type="pct"/>
            <w:vAlign w:val="center"/>
          </w:tcPr>
          <w:p w14:paraId="5F145982" w14:textId="77777777" w:rsidR="00975BC5"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Pr>
                <w:rFonts w:cstheme="minorHAnsi"/>
                <w:sz w:val="18"/>
                <w:szCs w:val="18"/>
              </w:rPr>
              <w:t>$0.31</w:t>
            </w:r>
          </w:p>
        </w:tc>
        <w:tc>
          <w:tcPr>
            <w:tcW w:w="550" w:type="pct"/>
            <w:vAlign w:val="center"/>
          </w:tcPr>
          <w:p w14:paraId="2ABAC4E4" w14:textId="77777777" w:rsidR="00975BC5"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Pr>
                <w:rFonts w:cstheme="minorHAnsi"/>
                <w:sz w:val="18"/>
                <w:szCs w:val="18"/>
              </w:rPr>
              <w:t>$0.32</w:t>
            </w:r>
          </w:p>
        </w:tc>
        <w:tc>
          <w:tcPr>
            <w:tcW w:w="601" w:type="pct"/>
            <w:vAlign w:val="center"/>
          </w:tcPr>
          <w:p w14:paraId="5A20318C" w14:textId="77777777" w:rsidR="00975BC5"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$0.38</w:t>
            </w:r>
          </w:p>
        </w:tc>
      </w:tr>
      <w:tr w:rsidR="00975BC5" w:rsidRPr="005C6DDE" w14:paraId="0DC06CBE"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156AFE87" w14:textId="77777777" w:rsidR="00975BC5" w:rsidRPr="005C6DDE" w:rsidRDefault="00975BC5" w:rsidP="007075DE">
            <w:pPr>
              <w:spacing w:before="40" w:after="40" w:line="240" w:lineRule="atLeast"/>
              <w:rPr>
                <w:rFonts w:cstheme="minorHAnsi"/>
                <w:sz w:val="18"/>
                <w:szCs w:val="18"/>
              </w:rPr>
            </w:pPr>
            <w:bookmarkStart w:id="23" w:name="OLE_LINK2"/>
            <w:r w:rsidRPr="005C6DDE">
              <w:rPr>
                <w:rFonts w:cstheme="minorHAnsi"/>
                <w:sz w:val="18"/>
                <w:szCs w:val="18"/>
              </w:rPr>
              <w:t>Cumulative cost per hour, after on-costs</w:t>
            </w:r>
            <w:bookmarkEnd w:id="23"/>
          </w:p>
        </w:tc>
        <w:tc>
          <w:tcPr>
            <w:tcW w:w="551" w:type="pct"/>
            <w:noWrap/>
            <w:vAlign w:val="center"/>
          </w:tcPr>
          <w:p w14:paraId="44B32BAD" w14:textId="77777777" w:rsidR="00975BC5" w:rsidRPr="005C6DDE"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$40.31</w:t>
            </w:r>
          </w:p>
        </w:tc>
        <w:tc>
          <w:tcPr>
            <w:tcW w:w="550" w:type="pct"/>
            <w:vAlign w:val="center"/>
          </w:tcPr>
          <w:p w14:paraId="289F7340" w14:textId="77777777" w:rsidR="00975BC5" w:rsidRPr="005C6DDE"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$41.85</w:t>
            </w:r>
          </w:p>
        </w:tc>
        <w:tc>
          <w:tcPr>
            <w:tcW w:w="550" w:type="pct"/>
            <w:vAlign w:val="center"/>
          </w:tcPr>
          <w:p w14:paraId="08152B35" w14:textId="77777777" w:rsidR="00975BC5" w:rsidRPr="005C6DDE"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$43.53</w:t>
            </w:r>
          </w:p>
        </w:tc>
        <w:tc>
          <w:tcPr>
            <w:tcW w:w="601" w:type="pct"/>
            <w:vAlign w:val="center"/>
          </w:tcPr>
          <w:p w14:paraId="2F273246" w14:textId="77777777" w:rsidR="00975BC5" w:rsidRDefault="00975BC5" w:rsidP="007075DE">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$52.28</w:t>
            </w:r>
          </w:p>
        </w:tc>
      </w:tr>
      <w:tr w:rsidR="00975BC5" w14:paraId="554B0DA9"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2A18692D" w14:textId="77777777" w:rsidR="00975BC5" w:rsidRPr="005C6DDE" w:rsidRDefault="00975BC5" w:rsidP="007075DE">
            <w:pPr>
              <w:spacing w:before="40" w:after="40" w:line="240" w:lineRule="atLeast"/>
              <w:rPr>
                <w:rFonts w:cstheme="minorHAnsi"/>
                <w:b w:val="0"/>
                <w:sz w:val="18"/>
                <w:szCs w:val="18"/>
              </w:rPr>
            </w:pPr>
            <w:r w:rsidRPr="005C6DDE">
              <w:rPr>
                <w:rFonts w:cstheme="minorHAnsi"/>
                <w:b w:val="0"/>
                <w:sz w:val="18"/>
                <w:szCs w:val="18"/>
              </w:rPr>
              <w:t xml:space="preserve">Cumulative </w:t>
            </w:r>
            <w:r>
              <w:rPr>
                <w:rFonts w:cstheme="minorHAnsi"/>
                <w:b w:val="0"/>
                <w:sz w:val="18"/>
                <w:szCs w:val="18"/>
              </w:rPr>
              <w:t>i</w:t>
            </w:r>
            <w:r w:rsidRPr="001A1BE7">
              <w:rPr>
                <w:rFonts w:cstheme="minorHAnsi"/>
                <w:b w:val="0"/>
                <w:sz w:val="18"/>
                <w:szCs w:val="18"/>
              </w:rPr>
              <w:t xml:space="preserve">ncrease from </w:t>
            </w:r>
            <w:r>
              <w:rPr>
                <w:rFonts w:cstheme="minorHAnsi"/>
                <w:b w:val="0"/>
                <w:sz w:val="18"/>
                <w:szCs w:val="18"/>
              </w:rPr>
              <w:t>standard hourly rate</w:t>
            </w:r>
          </w:p>
        </w:tc>
        <w:tc>
          <w:tcPr>
            <w:tcW w:w="551" w:type="pct"/>
            <w:noWrap/>
            <w:vAlign w:val="center"/>
          </w:tcPr>
          <w:p w14:paraId="0587A703" w14:textId="77777777" w:rsidR="00975BC5" w:rsidRPr="005C6DDE"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36.4%</w:t>
            </w:r>
          </w:p>
        </w:tc>
        <w:tc>
          <w:tcPr>
            <w:tcW w:w="550" w:type="pct"/>
            <w:vAlign w:val="center"/>
          </w:tcPr>
          <w:p w14:paraId="401ED264" w14:textId="77777777" w:rsidR="00975BC5" w:rsidRPr="005C6DDE"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36.4%</w:t>
            </w:r>
          </w:p>
        </w:tc>
        <w:tc>
          <w:tcPr>
            <w:tcW w:w="550" w:type="pct"/>
            <w:vAlign w:val="center"/>
          </w:tcPr>
          <w:p w14:paraId="797A17EC" w14:textId="77777777" w:rsidR="00975BC5" w:rsidRPr="005C6DDE"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36.4%</w:t>
            </w:r>
          </w:p>
        </w:tc>
        <w:tc>
          <w:tcPr>
            <w:tcW w:w="601" w:type="pct"/>
            <w:vAlign w:val="center"/>
          </w:tcPr>
          <w:p w14:paraId="5BF4B184" w14:textId="77777777" w:rsidR="00975BC5" w:rsidRDefault="00975BC5" w:rsidP="007075DE">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36.4%</w:t>
            </w:r>
          </w:p>
        </w:tc>
      </w:tr>
    </w:tbl>
    <w:p w14:paraId="3B57FE23" w14:textId="77777777" w:rsidR="00CD54AF" w:rsidRDefault="00CD54AF" w:rsidP="00315545">
      <w:pPr>
        <w:pStyle w:val="Heading2"/>
      </w:pPr>
      <w:bookmarkStart w:id="24" w:name="_Ref18506181"/>
      <w:bookmarkStart w:id="25" w:name="_Toc46398740"/>
      <w:r>
        <w:t>Supervision costs</w:t>
      </w:r>
      <w:bookmarkEnd w:id="24"/>
      <w:bookmarkEnd w:id="25"/>
    </w:p>
    <w:p w14:paraId="39BD5437" w14:textId="77777777" w:rsidR="00985170" w:rsidRDefault="007E0EA7" w:rsidP="00B227D9">
      <w:r>
        <w:t xml:space="preserve">The </w:t>
      </w:r>
      <w:r w:rsidR="00E27A53">
        <w:t>Cost Model</w:t>
      </w:r>
      <w:r>
        <w:t xml:space="preserve"> recognises that DSWs require support and supervision</w:t>
      </w:r>
      <w:r w:rsidR="00B658AF">
        <w:t xml:space="preserve"> and assumes</w:t>
      </w:r>
      <w:r>
        <w:t xml:space="preserve"> that supervisors have the same shift loadings, leave entitlements and salary on-costs as the workers they manage, and that higher skilled workers require higher skilled supervisors. T</w:t>
      </w:r>
      <w:r w:rsidR="008E3AF9">
        <w:t xml:space="preserve">he </w:t>
      </w:r>
      <w:r w:rsidR="00E27A53">
        <w:t>Cost Model</w:t>
      </w:r>
      <w:r w:rsidR="008E3AF9">
        <w:t xml:space="preserve"> </w:t>
      </w:r>
      <w:r w:rsidR="007751F4">
        <w:t xml:space="preserve">also </w:t>
      </w:r>
      <w:r w:rsidR="008E3AF9">
        <w:t xml:space="preserve">assumes a </w:t>
      </w:r>
      <w:r w:rsidR="007751F4">
        <w:t xml:space="preserve">span of control (ratio of </w:t>
      </w:r>
      <w:r w:rsidR="008E3AF9">
        <w:t xml:space="preserve">workers </w:t>
      </w:r>
      <w:r w:rsidR="00216517">
        <w:t xml:space="preserve">per </w:t>
      </w:r>
      <w:r w:rsidR="008E3AF9">
        <w:t>supervisor</w:t>
      </w:r>
      <w:r w:rsidR="007751F4">
        <w:t>) of 1</w:t>
      </w:r>
      <w:r w:rsidR="007D2AC0">
        <w:t>5</w:t>
      </w:r>
      <w:r w:rsidR="007751F4">
        <w:t xml:space="preserve"> to 1</w:t>
      </w:r>
      <w:r w:rsidR="00711713">
        <w:t>.</w:t>
      </w:r>
      <w:r w:rsidR="00711713">
        <w:rPr>
          <w:rStyle w:val="FootnoteReference"/>
        </w:rPr>
        <w:footnoteReference w:id="19"/>
      </w:r>
    </w:p>
    <w:p w14:paraId="2F54911B" w14:textId="141CC342" w:rsidR="000C7183" w:rsidRDefault="000C7183" w:rsidP="005147FD">
      <w:pPr>
        <w:pStyle w:val="Caption"/>
      </w:pPr>
      <w:bookmarkStart w:id="26" w:name="_Ref19026960"/>
      <w:r w:rsidRPr="00975FC4">
        <w:t xml:space="preserve">Table </w:t>
      </w:r>
      <w:r w:rsidR="003777EA">
        <w:fldChar w:fldCharType="begin"/>
      </w:r>
      <w:r w:rsidR="003777EA">
        <w:instrText xml:space="preserve"> SEQ Table \* ARABIC </w:instrText>
      </w:r>
      <w:r w:rsidR="003777EA">
        <w:fldChar w:fldCharType="separate"/>
      </w:r>
      <w:r w:rsidR="003777EA">
        <w:rPr>
          <w:noProof/>
        </w:rPr>
        <w:t>5</w:t>
      </w:r>
      <w:r w:rsidR="003777EA">
        <w:rPr>
          <w:noProof/>
        </w:rPr>
        <w:fldChar w:fldCharType="end"/>
      </w:r>
      <w:bookmarkEnd w:id="26"/>
      <w:r w:rsidRPr="00975FC4">
        <w:t xml:space="preserve">: </w:t>
      </w:r>
      <w:r w:rsidR="00216517">
        <w:t>Impact of S</w:t>
      </w:r>
      <w:r>
        <w:t xml:space="preserve">upervision on </w:t>
      </w:r>
      <w:r w:rsidR="00216517">
        <w:t xml:space="preserve">Cost per </w:t>
      </w:r>
      <w:r w:rsidR="0086773C">
        <w:t>Worked</w:t>
      </w:r>
      <w:r w:rsidR="00CD68BE">
        <w:t xml:space="preserve"> </w:t>
      </w:r>
      <w:r w:rsidR="00216517">
        <w:t>Hour of a Permanent DSW</w:t>
      </w:r>
    </w:p>
    <w:tbl>
      <w:tblPr>
        <w:tblStyle w:val="GridTable4-Accent4"/>
        <w:tblW w:w="5000" w:type="pct"/>
        <w:tblLook w:val="04A0" w:firstRow="1" w:lastRow="0" w:firstColumn="1" w:lastColumn="0" w:noHBand="0" w:noVBand="1"/>
        <w:tblDescription w:val="Table 5: Impact of Supervision on Cost per Worked Hour of a Permanent DSW"/>
      </w:tblPr>
      <w:tblGrid>
        <w:gridCol w:w="4954"/>
        <w:gridCol w:w="994"/>
        <w:gridCol w:w="992"/>
        <w:gridCol w:w="992"/>
        <w:gridCol w:w="1084"/>
      </w:tblGrid>
      <w:tr w:rsidR="00996565" w:rsidRPr="003A3C03" w14:paraId="153389AB" w14:textId="77777777" w:rsidTr="00996565">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747" w:type="pct"/>
            <w:hideMark/>
          </w:tcPr>
          <w:p w14:paraId="5A4F8B74" w14:textId="77777777" w:rsidR="00996565" w:rsidRPr="001A1BE7" w:rsidRDefault="00996565" w:rsidP="00996565">
            <w:pPr>
              <w:keepNext/>
              <w:spacing w:before="40" w:after="40" w:line="240" w:lineRule="atLeast"/>
              <w:rPr>
                <w:rFonts w:cstheme="minorHAnsi"/>
                <w:sz w:val="18"/>
                <w:szCs w:val="18"/>
              </w:rPr>
            </w:pPr>
          </w:p>
        </w:tc>
        <w:tc>
          <w:tcPr>
            <w:tcW w:w="551" w:type="pct"/>
            <w:hideMark/>
          </w:tcPr>
          <w:p w14:paraId="38A5C865" w14:textId="77777777" w:rsidR="00996565" w:rsidRPr="001A1BE7" w:rsidRDefault="00996565" w:rsidP="00996565">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1</w:t>
            </w:r>
          </w:p>
        </w:tc>
        <w:tc>
          <w:tcPr>
            <w:tcW w:w="550" w:type="pct"/>
          </w:tcPr>
          <w:p w14:paraId="4B0589B5" w14:textId="77777777" w:rsidR="00996565" w:rsidRPr="001A1BE7" w:rsidRDefault="00996565" w:rsidP="00996565">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Pr>
                <w:rFonts w:cstheme="minorHAnsi"/>
                <w:sz w:val="18"/>
                <w:szCs w:val="18"/>
              </w:rPr>
              <w:t>DSW 2</w:t>
            </w:r>
          </w:p>
        </w:tc>
        <w:tc>
          <w:tcPr>
            <w:tcW w:w="550" w:type="pct"/>
          </w:tcPr>
          <w:p w14:paraId="2E80B561" w14:textId="77777777" w:rsidR="00996565" w:rsidRPr="001A1BE7" w:rsidRDefault="00996565" w:rsidP="00996565">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3</w:t>
            </w:r>
          </w:p>
        </w:tc>
        <w:tc>
          <w:tcPr>
            <w:tcW w:w="601" w:type="pct"/>
          </w:tcPr>
          <w:p w14:paraId="1ABB0ECD" w14:textId="77777777" w:rsidR="00996565" w:rsidRDefault="00996565" w:rsidP="00996565">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4</w:t>
            </w:r>
          </w:p>
        </w:tc>
      </w:tr>
      <w:tr w:rsidR="00996565" w14:paraId="440878E3"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hideMark/>
          </w:tcPr>
          <w:p w14:paraId="75352BA0" w14:textId="77777777" w:rsidR="00996565" w:rsidRPr="001A1BE7" w:rsidRDefault="00996565" w:rsidP="00996565">
            <w:pPr>
              <w:keepNext/>
              <w:spacing w:before="40" w:after="40" w:line="240" w:lineRule="atLeast"/>
              <w:rPr>
                <w:rFonts w:cstheme="minorHAnsi"/>
                <w:sz w:val="18"/>
                <w:szCs w:val="18"/>
              </w:rPr>
            </w:pPr>
            <w:r>
              <w:rPr>
                <w:rFonts w:cstheme="minorHAnsi"/>
                <w:sz w:val="18"/>
                <w:szCs w:val="18"/>
              </w:rPr>
              <w:t>Cumulative cost per hour, before supervision</w:t>
            </w:r>
          </w:p>
        </w:tc>
        <w:tc>
          <w:tcPr>
            <w:tcW w:w="551" w:type="pct"/>
            <w:noWrap/>
            <w:vAlign w:val="center"/>
            <w:hideMark/>
          </w:tcPr>
          <w:p w14:paraId="13D79668" w14:textId="77777777" w:rsidR="00996565" w:rsidRPr="007519CD"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$40.31</w:t>
            </w:r>
          </w:p>
        </w:tc>
        <w:tc>
          <w:tcPr>
            <w:tcW w:w="550" w:type="pct"/>
            <w:vAlign w:val="center"/>
          </w:tcPr>
          <w:p w14:paraId="50B1E23B" w14:textId="77777777" w:rsidR="00996565" w:rsidRPr="007519CD"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$41.85</w:t>
            </w:r>
          </w:p>
        </w:tc>
        <w:tc>
          <w:tcPr>
            <w:tcW w:w="550" w:type="pct"/>
            <w:vAlign w:val="center"/>
          </w:tcPr>
          <w:p w14:paraId="5340D217" w14:textId="77777777" w:rsidR="00996565" w:rsidRPr="007519CD"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$43.53</w:t>
            </w:r>
          </w:p>
        </w:tc>
        <w:tc>
          <w:tcPr>
            <w:tcW w:w="601" w:type="pct"/>
            <w:vAlign w:val="center"/>
          </w:tcPr>
          <w:p w14:paraId="78C8A254" w14:textId="77777777" w:rsidR="00996565"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$52.28</w:t>
            </w:r>
          </w:p>
        </w:tc>
      </w:tr>
      <w:tr w:rsidR="00996565" w14:paraId="43A95B0D"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hideMark/>
          </w:tcPr>
          <w:p w14:paraId="1412666C" w14:textId="77777777" w:rsidR="00996565" w:rsidRPr="001A1BE7" w:rsidRDefault="00996565" w:rsidP="00996565">
            <w:pPr>
              <w:keepNext/>
              <w:spacing w:before="40" w:after="40" w:line="240" w:lineRule="atLeast"/>
              <w:rPr>
                <w:rFonts w:cstheme="minorHAnsi"/>
                <w:sz w:val="18"/>
                <w:szCs w:val="18"/>
              </w:rPr>
            </w:pPr>
            <w:r>
              <w:rPr>
                <w:rFonts w:cstheme="minorHAnsi"/>
                <w:sz w:val="18"/>
                <w:szCs w:val="18"/>
              </w:rPr>
              <w:t>Supervisor</w:t>
            </w:r>
          </w:p>
        </w:tc>
        <w:tc>
          <w:tcPr>
            <w:tcW w:w="551" w:type="pct"/>
            <w:noWrap/>
            <w:vAlign w:val="center"/>
          </w:tcPr>
          <w:p w14:paraId="20EFFB6D" w14:textId="77777777" w:rsidR="00996565" w:rsidRPr="001A1BE7"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vAlign w:val="center"/>
          </w:tcPr>
          <w:p w14:paraId="318D554C" w14:textId="77777777" w:rsidR="00996565" w:rsidRPr="007519CD"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vAlign w:val="center"/>
          </w:tcPr>
          <w:p w14:paraId="160E1024" w14:textId="77777777" w:rsidR="00996565" w:rsidRPr="007519CD"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01" w:type="pct"/>
            <w:vAlign w:val="center"/>
          </w:tcPr>
          <w:p w14:paraId="348DEC27" w14:textId="77777777" w:rsidR="00996565" w:rsidRPr="007519CD"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996565" w14:paraId="0C487F71"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5316D51E" w14:textId="77777777" w:rsidR="00996565" w:rsidRPr="005C6DDE" w:rsidRDefault="00996565" w:rsidP="00996565">
            <w:pPr>
              <w:keepNext/>
              <w:spacing w:before="40" w:after="40" w:line="240" w:lineRule="atLeast"/>
              <w:ind w:left="593"/>
              <w:rPr>
                <w:rFonts w:cstheme="minorHAnsi"/>
                <w:b w:val="0"/>
                <w:sz w:val="18"/>
                <w:szCs w:val="18"/>
              </w:rPr>
            </w:pPr>
            <w:r>
              <w:rPr>
                <w:rFonts w:cstheme="minorHAnsi"/>
                <w:b w:val="0"/>
                <w:sz w:val="18"/>
                <w:szCs w:val="18"/>
              </w:rPr>
              <w:t>Level of supervisor (SCHADS Equivalent)</w:t>
            </w:r>
          </w:p>
        </w:tc>
        <w:tc>
          <w:tcPr>
            <w:tcW w:w="551" w:type="pct"/>
            <w:noWrap/>
            <w:vAlign w:val="center"/>
          </w:tcPr>
          <w:p w14:paraId="2DFAC01C"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3.2</w:t>
            </w:r>
          </w:p>
        </w:tc>
        <w:tc>
          <w:tcPr>
            <w:tcW w:w="550" w:type="pct"/>
            <w:vAlign w:val="center"/>
          </w:tcPr>
          <w:p w14:paraId="07A8AE58"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4.2</w:t>
            </w:r>
          </w:p>
        </w:tc>
        <w:tc>
          <w:tcPr>
            <w:tcW w:w="550" w:type="pct"/>
            <w:vAlign w:val="center"/>
          </w:tcPr>
          <w:p w14:paraId="6D3513F9"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4.2</w:t>
            </w:r>
          </w:p>
        </w:tc>
        <w:tc>
          <w:tcPr>
            <w:tcW w:w="601" w:type="pct"/>
            <w:vAlign w:val="center"/>
          </w:tcPr>
          <w:p w14:paraId="284C2587" w14:textId="77777777" w:rsidR="00996565"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5.1</w:t>
            </w:r>
          </w:p>
        </w:tc>
      </w:tr>
      <w:tr w:rsidR="00996565" w14:paraId="19212E09"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544DCBE5" w14:textId="77777777" w:rsidR="00996565" w:rsidRPr="005C6DDE" w:rsidRDefault="00996565" w:rsidP="00996565">
            <w:pPr>
              <w:keepNext/>
              <w:spacing w:before="40" w:after="40" w:line="240" w:lineRule="atLeast"/>
              <w:ind w:left="593"/>
              <w:rPr>
                <w:rFonts w:cstheme="minorHAnsi"/>
                <w:b w:val="0"/>
                <w:sz w:val="18"/>
                <w:szCs w:val="18"/>
              </w:rPr>
            </w:pPr>
            <w:r>
              <w:rPr>
                <w:rFonts w:cstheme="minorHAnsi"/>
                <w:b w:val="0"/>
                <w:sz w:val="18"/>
                <w:szCs w:val="18"/>
              </w:rPr>
              <w:t>Base Salary</w:t>
            </w:r>
          </w:p>
        </w:tc>
        <w:tc>
          <w:tcPr>
            <w:tcW w:w="551" w:type="pct"/>
            <w:noWrap/>
            <w:vAlign w:val="center"/>
          </w:tcPr>
          <w:p w14:paraId="4793F2B9" w14:textId="77777777" w:rsidR="00996565" w:rsidRPr="005C6DD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$31.92</w:t>
            </w:r>
          </w:p>
        </w:tc>
        <w:tc>
          <w:tcPr>
            <w:tcW w:w="550" w:type="pct"/>
            <w:vAlign w:val="center"/>
          </w:tcPr>
          <w:p w14:paraId="11D37794" w14:textId="77777777" w:rsidR="00996565" w:rsidRPr="005C6DD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$36.57</w:t>
            </w:r>
          </w:p>
        </w:tc>
        <w:tc>
          <w:tcPr>
            <w:tcW w:w="550" w:type="pct"/>
            <w:vAlign w:val="center"/>
          </w:tcPr>
          <w:p w14:paraId="789F3078" w14:textId="77777777" w:rsidR="00996565" w:rsidRPr="005C6DD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$36.57</w:t>
            </w:r>
          </w:p>
        </w:tc>
        <w:tc>
          <w:tcPr>
            <w:tcW w:w="601" w:type="pct"/>
            <w:vAlign w:val="center"/>
          </w:tcPr>
          <w:p w14:paraId="0E136548" w14:textId="77777777" w:rsidR="00996565"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$40.64</w:t>
            </w:r>
          </w:p>
        </w:tc>
      </w:tr>
      <w:tr w:rsidR="00996565" w14:paraId="0F7834D5"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28EFCF8F" w14:textId="77777777" w:rsidR="00996565" w:rsidRPr="005C6DDE" w:rsidRDefault="00996565" w:rsidP="00996565">
            <w:pPr>
              <w:keepNext/>
              <w:spacing w:before="40" w:after="40" w:line="240" w:lineRule="atLeast"/>
              <w:ind w:left="593"/>
              <w:rPr>
                <w:rFonts w:cstheme="minorHAnsi"/>
                <w:b w:val="0"/>
                <w:sz w:val="18"/>
                <w:szCs w:val="18"/>
              </w:rPr>
            </w:pPr>
            <w:r>
              <w:rPr>
                <w:rFonts w:cstheme="minorHAnsi"/>
                <w:b w:val="0"/>
                <w:sz w:val="18"/>
                <w:szCs w:val="18"/>
              </w:rPr>
              <w:t>Leave costs</w:t>
            </w:r>
          </w:p>
        </w:tc>
        <w:tc>
          <w:tcPr>
            <w:tcW w:w="551" w:type="pct"/>
            <w:noWrap/>
            <w:vAlign w:val="center"/>
          </w:tcPr>
          <w:p w14:paraId="12FA74F2"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$6.94</w:t>
            </w:r>
          </w:p>
        </w:tc>
        <w:tc>
          <w:tcPr>
            <w:tcW w:w="550" w:type="pct"/>
            <w:vAlign w:val="center"/>
          </w:tcPr>
          <w:p w14:paraId="2D653325"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$7.95</w:t>
            </w:r>
          </w:p>
        </w:tc>
        <w:tc>
          <w:tcPr>
            <w:tcW w:w="550" w:type="pct"/>
            <w:vAlign w:val="center"/>
          </w:tcPr>
          <w:p w14:paraId="1E67D402"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$7.95</w:t>
            </w:r>
          </w:p>
        </w:tc>
        <w:tc>
          <w:tcPr>
            <w:tcW w:w="601" w:type="pct"/>
            <w:vAlign w:val="center"/>
          </w:tcPr>
          <w:p w14:paraId="103D01BC" w14:textId="77777777" w:rsidR="00996565"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$8.84</w:t>
            </w:r>
          </w:p>
        </w:tc>
      </w:tr>
      <w:tr w:rsidR="00996565" w14:paraId="44384736"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118F9750" w14:textId="77777777" w:rsidR="00996565" w:rsidRPr="005C6DDE" w:rsidRDefault="00996565" w:rsidP="00996565">
            <w:pPr>
              <w:keepNext/>
              <w:spacing w:before="40" w:after="40" w:line="240" w:lineRule="atLeast"/>
              <w:ind w:left="593"/>
              <w:rPr>
                <w:rFonts w:cstheme="minorHAnsi"/>
                <w:b w:val="0"/>
                <w:sz w:val="18"/>
                <w:szCs w:val="18"/>
              </w:rPr>
            </w:pPr>
            <w:r>
              <w:rPr>
                <w:rFonts w:cstheme="minorHAnsi"/>
                <w:b w:val="0"/>
                <w:sz w:val="18"/>
                <w:szCs w:val="18"/>
              </w:rPr>
              <w:t>Salary-on costs</w:t>
            </w:r>
          </w:p>
        </w:tc>
        <w:tc>
          <w:tcPr>
            <w:tcW w:w="551" w:type="pct"/>
            <w:noWrap/>
            <w:vAlign w:val="center"/>
          </w:tcPr>
          <w:p w14:paraId="4CAC99ED" w14:textId="77777777" w:rsidR="00996565" w:rsidRPr="005C6DD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$4.67</w:t>
            </w:r>
          </w:p>
        </w:tc>
        <w:tc>
          <w:tcPr>
            <w:tcW w:w="550" w:type="pct"/>
            <w:vAlign w:val="center"/>
          </w:tcPr>
          <w:p w14:paraId="1499E5FA" w14:textId="77777777" w:rsidR="00996565" w:rsidRPr="005C6DD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$5.35</w:t>
            </w:r>
          </w:p>
        </w:tc>
        <w:tc>
          <w:tcPr>
            <w:tcW w:w="550" w:type="pct"/>
            <w:vAlign w:val="center"/>
          </w:tcPr>
          <w:p w14:paraId="6F18693B" w14:textId="77777777" w:rsidR="00996565" w:rsidRPr="005C6DD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$5.35</w:t>
            </w:r>
          </w:p>
        </w:tc>
        <w:tc>
          <w:tcPr>
            <w:tcW w:w="601" w:type="pct"/>
            <w:vAlign w:val="center"/>
          </w:tcPr>
          <w:p w14:paraId="1689EC3B" w14:textId="77777777" w:rsidR="00996565"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$5.95</w:t>
            </w:r>
          </w:p>
        </w:tc>
      </w:tr>
      <w:tr w:rsidR="00996565" w14:paraId="7E4F459D"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3E10A9CD" w14:textId="77777777" w:rsidR="00996565" w:rsidRPr="005C6DDE" w:rsidRDefault="00996565" w:rsidP="00996565">
            <w:pPr>
              <w:keepNext/>
              <w:spacing w:before="40" w:after="40" w:line="240" w:lineRule="atLeast"/>
              <w:rPr>
                <w:rFonts w:cstheme="minorHAnsi"/>
                <w:b w:val="0"/>
                <w:sz w:val="18"/>
                <w:szCs w:val="18"/>
              </w:rPr>
            </w:pPr>
            <w:r w:rsidRPr="007519CD">
              <w:rPr>
                <w:rFonts w:cstheme="minorHAnsi"/>
                <w:sz w:val="18"/>
                <w:szCs w:val="18"/>
              </w:rPr>
              <w:t>Span of control</w:t>
            </w:r>
          </w:p>
        </w:tc>
        <w:tc>
          <w:tcPr>
            <w:tcW w:w="551" w:type="pct"/>
            <w:noWrap/>
            <w:vAlign w:val="center"/>
          </w:tcPr>
          <w:p w14:paraId="204EE661"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550" w:type="pct"/>
            <w:vAlign w:val="center"/>
          </w:tcPr>
          <w:p w14:paraId="0DE8E6F7"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550" w:type="pct"/>
            <w:vAlign w:val="center"/>
          </w:tcPr>
          <w:p w14:paraId="3AF14F66"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601" w:type="pct"/>
            <w:vAlign w:val="center"/>
          </w:tcPr>
          <w:p w14:paraId="567FC256"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996565" w14:paraId="7DF31742"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422E9936" w14:textId="77777777" w:rsidR="00996565" w:rsidRPr="005C6DDE" w:rsidRDefault="00996565" w:rsidP="00996565">
            <w:pPr>
              <w:keepNext/>
              <w:spacing w:before="40" w:after="40" w:line="240" w:lineRule="atLeast"/>
              <w:ind w:left="593"/>
              <w:rPr>
                <w:rFonts w:cstheme="minorHAnsi"/>
                <w:b w:val="0"/>
                <w:sz w:val="18"/>
                <w:szCs w:val="18"/>
              </w:rPr>
            </w:pPr>
            <w:r>
              <w:rPr>
                <w:rFonts w:cstheme="minorHAnsi"/>
                <w:b w:val="0"/>
                <w:sz w:val="18"/>
                <w:szCs w:val="18"/>
              </w:rPr>
              <w:t>Span of control</w:t>
            </w:r>
          </w:p>
        </w:tc>
        <w:tc>
          <w:tcPr>
            <w:tcW w:w="551" w:type="pct"/>
            <w:noWrap/>
            <w:vAlign w:val="center"/>
          </w:tcPr>
          <w:p w14:paraId="10B88C27" w14:textId="77777777" w:rsidR="00996565" w:rsidRPr="005C6DD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15</w:t>
            </w:r>
          </w:p>
        </w:tc>
        <w:tc>
          <w:tcPr>
            <w:tcW w:w="550" w:type="pct"/>
            <w:vAlign w:val="center"/>
          </w:tcPr>
          <w:p w14:paraId="12E57E5A" w14:textId="77777777" w:rsidR="00996565" w:rsidRPr="005C6DD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15</w:t>
            </w:r>
          </w:p>
        </w:tc>
        <w:tc>
          <w:tcPr>
            <w:tcW w:w="550" w:type="pct"/>
            <w:vAlign w:val="center"/>
          </w:tcPr>
          <w:p w14:paraId="092CEF6E" w14:textId="77777777" w:rsidR="00996565" w:rsidRPr="005C6DD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15</w:t>
            </w:r>
          </w:p>
        </w:tc>
        <w:tc>
          <w:tcPr>
            <w:tcW w:w="601" w:type="pct"/>
            <w:vAlign w:val="center"/>
          </w:tcPr>
          <w:p w14:paraId="1BEA134C" w14:textId="77777777" w:rsidR="00996565"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15</w:t>
            </w:r>
          </w:p>
        </w:tc>
      </w:tr>
      <w:tr w:rsidR="00996565" w14:paraId="0C37EB3C"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71D03835" w14:textId="77777777" w:rsidR="00996565" w:rsidRPr="005C6DDE" w:rsidRDefault="00996565" w:rsidP="00996565">
            <w:pPr>
              <w:keepNext/>
              <w:spacing w:before="40" w:after="40" w:line="240" w:lineRule="atLeast"/>
              <w:ind w:left="593"/>
              <w:rPr>
                <w:rFonts w:cstheme="minorHAnsi"/>
                <w:b w:val="0"/>
                <w:sz w:val="18"/>
                <w:szCs w:val="18"/>
              </w:rPr>
            </w:pPr>
            <w:r>
              <w:rPr>
                <w:rFonts w:cstheme="minorHAnsi"/>
                <w:b w:val="0"/>
                <w:sz w:val="18"/>
                <w:szCs w:val="18"/>
              </w:rPr>
              <w:t xml:space="preserve">Cost of supervision </w:t>
            </w:r>
            <w:r w:rsidRPr="005C6DDE">
              <w:rPr>
                <w:rFonts w:cstheme="minorHAnsi"/>
                <w:b w:val="0"/>
                <w:sz w:val="18"/>
                <w:szCs w:val="18"/>
              </w:rPr>
              <w:t>($)</w:t>
            </w:r>
          </w:p>
        </w:tc>
        <w:tc>
          <w:tcPr>
            <w:tcW w:w="551" w:type="pct"/>
            <w:noWrap/>
            <w:vAlign w:val="center"/>
          </w:tcPr>
          <w:p w14:paraId="5C09458F"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$2.90</w:t>
            </w:r>
          </w:p>
        </w:tc>
        <w:tc>
          <w:tcPr>
            <w:tcW w:w="550" w:type="pct"/>
            <w:vAlign w:val="center"/>
          </w:tcPr>
          <w:p w14:paraId="6ABE65F9"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$3.32</w:t>
            </w:r>
          </w:p>
        </w:tc>
        <w:tc>
          <w:tcPr>
            <w:tcW w:w="550" w:type="pct"/>
            <w:vAlign w:val="center"/>
          </w:tcPr>
          <w:p w14:paraId="255AF84C"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$3.32</w:t>
            </w:r>
          </w:p>
        </w:tc>
        <w:tc>
          <w:tcPr>
            <w:tcW w:w="601" w:type="pct"/>
            <w:vAlign w:val="center"/>
          </w:tcPr>
          <w:p w14:paraId="2DF4323C" w14:textId="77777777" w:rsidR="00996565"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$3.70</w:t>
            </w:r>
          </w:p>
        </w:tc>
      </w:tr>
      <w:tr w:rsidR="00996565" w:rsidRPr="00227122" w14:paraId="5B1232FB"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5848228E" w14:textId="77777777" w:rsidR="00996565" w:rsidRPr="00227122" w:rsidRDefault="00996565" w:rsidP="00996565">
            <w:pPr>
              <w:keepNext/>
              <w:spacing w:before="40" w:after="40" w:line="240" w:lineRule="atLeast"/>
              <w:rPr>
                <w:rFonts w:cstheme="minorHAnsi"/>
                <w:sz w:val="18"/>
                <w:szCs w:val="18"/>
              </w:rPr>
            </w:pPr>
            <w:bookmarkStart w:id="27" w:name="OLE_LINK3"/>
            <w:bookmarkStart w:id="28" w:name="OLE_LINK4"/>
            <w:r w:rsidRPr="00227122">
              <w:rPr>
                <w:rFonts w:cstheme="minorHAnsi"/>
                <w:sz w:val="18"/>
                <w:szCs w:val="18"/>
              </w:rPr>
              <w:t>Cumulative cost per hour, after supervision</w:t>
            </w:r>
            <w:bookmarkEnd w:id="27"/>
            <w:bookmarkEnd w:id="28"/>
          </w:p>
        </w:tc>
        <w:tc>
          <w:tcPr>
            <w:tcW w:w="551" w:type="pct"/>
            <w:noWrap/>
            <w:vAlign w:val="center"/>
          </w:tcPr>
          <w:p w14:paraId="62627F8B" w14:textId="77777777" w:rsidR="00996565" w:rsidRPr="00227122"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227122">
              <w:rPr>
                <w:rFonts w:cstheme="minorHAnsi"/>
                <w:b/>
                <w:sz w:val="18"/>
                <w:szCs w:val="18"/>
              </w:rPr>
              <w:t>$</w:t>
            </w:r>
            <w:r>
              <w:rPr>
                <w:rFonts w:cstheme="minorHAnsi"/>
                <w:b/>
                <w:sz w:val="18"/>
                <w:szCs w:val="18"/>
              </w:rPr>
              <w:t>43.21</w:t>
            </w:r>
          </w:p>
        </w:tc>
        <w:tc>
          <w:tcPr>
            <w:tcW w:w="550" w:type="pct"/>
            <w:vAlign w:val="center"/>
          </w:tcPr>
          <w:p w14:paraId="77C3EF27" w14:textId="77777777" w:rsidR="00996565" w:rsidRPr="00227122"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227122">
              <w:rPr>
                <w:rFonts w:cstheme="minorHAnsi"/>
                <w:b/>
                <w:sz w:val="18"/>
                <w:szCs w:val="18"/>
              </w:rPr>
              <w:t>$4</w:t>
            </w:r>
            <w:r>
              <w:rPr>
                <w:rFonts w:cstheme="minorHAnsi"/>
                <w:b/>
                <w:sz w:val="18"/>
                <w:szCs w:val="18"/>
              </w:rPr>
              <w:t>5.18</w:t>
            </w:r>
          </w:p>
        </w:tc>
        <w:tc>
          <w:tcPr>
            <w:tcW w:w="550" w:type="pct"/>
            <w:vAlign w:val="center"/>
          </w:tcPr>
          <w:p w14:paraId="32BAAE72" w14:textId="77777777" w:rsidR="00996565" w:rsidRPr="00227122"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227122">
              <w:rPr>
                <w:rFonts w:cstheme="minorHAnsi"/>
                <w:b/>
                <w:sz w:val="18"/>
                <w:szCs w:val="18"/>
              </w:rPr>
              <w:t>$4</w:t>
            </w:r>
            <w:r>
              <w:rPr>
                <w:rFonts w:cstheme="minorHAnsi"/>
                <w:b/>
                <w:sz w:val="18"/>
                <w:szCs w:val="18"/>
              </w:rPr>
              <w:t>6.86</w:t>
            </w:r>
          </w:p>
        </w:tc>
        <w:tc>
          <w:tcPr>
            <w:tcW w:w="601" w:type="pct"/>
            <w:vAlign w:val="center"/>
          </w:tcPr>
          <w:p w14:paraId="3EC307E2" w14:textId="77777777" w:rsidR="00996565" w:rsidRPr="00227122"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227122">
              <w:rPr>
                <w:rFonts w:cstheme="minorHAnsi"/>
                <w:b/>
                <w:sz w:val="18"/>
                <w:szCs w:val="18"/>
              </w:rPr>
              <w:t>$</w:t>
            </w:r>
            <w:r>
              <w:rPr>
                <w:rFonts w:cstheme="minorHAnsi"/>
                <w:b/>
                <w:sz w:val="18"/>
                <w:szCs w:val="18"/>
              </w:rPr>
              <w:t>55.98</w:t>
            </w:r>
          </w:p>
        </w:tc>
      </w:tr>
      <w:tr w:rsidR="00996565" w14:paraId="51F080E1"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7" w:type="pct"/>
            <w:vAlign w:val="center"/>
          </w:tcPr>
          <w:p w14:paraId="643AA4C4" w14:textId="77777777" w:rsidR="00996565" w:rsidRPr="005C6DDE" w:rsidRDefault="00996565" w:rsidP="00996565">
            <w:pPr>
              <w:keepNext/>
              <w:spacing w:before="40" w:after="40" w:line="240" w:lineRule="atLeast"/>
              <w:rPr>
                <w:rFonts w:cstheme="minorHAnsi"/>
                <w:b w:val="0"/>
                <w:sz w:val="18"/>
                <w:szCs w:val="18"/>
              </w:rPr>
            </w:pPr>
            <w:r w:rsidRPr="005C6DDE">
              <w:rPr>
                <w:rFonts w:cstheme="minorHAnsi"/>
                <w:b w:val="0"/>
                <w:sz w:val="18"/>
                <w:szCs w:val="18"/>
              </w:rPr>
              <w:t xml:space="preserve">Cumulative </w:t>
            </w:r>
            <w:r>
              <w:rPr>
                <w:rFonts w:cstheme="minorHAnsi"/>
                <w:b w:val="0"/>
                <w:sz w:val="18"/>
                <w:szCs w:val="18"/>
              </w:rPr>
              <w:t>i</w:t>
            </w:r>
            <w:r w:rsidRPr="001A1BE7">
              <w:rPr>
                <w:rFonts w:cstheme="minorHAnsi"/>
                <w:b w:val="0"/>
                <w:sz w:val="18"/>
                <w:szCs w:val="18"/>
              </w:rPr>
              <w:t xml:space="preserve">ncrease from </w:t>
            </w:r>
            <w:r>
              <w:rPr>
                <w:rFonts w:cstheme="minorHAnsi"/>
                <w:b w:val="0"/>
                <w:sz w:val="18"/>
                <w:szCs w:val="18"/>
              </w:rPr>
              <w:t>standard hourly rate</w:t>
            </w:r>
          </w:p>
        </w:tc>
        <w:tc>
          <w:tcPr>
            <w:tcW w:w="551" w:type="pct"/>
            <w:noWrap/>
            <w:vAlign w:val="center"/>
          </w:tcPr>
          <w:p w14:paraId="38CFEE63"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46.2%</w:t>
            </w:r>
          </w:p>
        </w:tc>
        <w:tc>
          <w:tcPr>
            <w:tcW w:w="550" w:type="pct"/>
            <w:vAlign w:val="center"/>
          </w:tcPr>
          <w:p w14:paraId="1BF9171F"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47.2%</w:t>
            </w:r>
          </w:p>
        </w:tc>
        <w:tc>
          <w:tcPr>
            <w:tcW w:w="550" w:type="pct"/>
            <w:vAlign w:val="center"/>
          </w:tcPr>
          <w:p w14:paraId="3DF8BADB"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46.8%</w:t>
            </w:r>
          </w:p>
        </w:tc>
        <w:tc>
          <w:tcPr>
            <w:tcW w:w="601" w:type="pct"/>
            <w:vAlign w:val="center"/>
          </w:tcPr>
          <w:p w14:paraId="0A253F0D" w14:textId="77777777" w:rsidR="00996565"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46.0%</w:t>
            </w:r>
          </w:p>
        </w:tc>
      </w:tr>
    </w:tbl>
    <w:p w14:paraId="128D298F" w14:textId="77777777" w:rsidR="007519CD" w:rsidRDefault="007519CD" w:rsidP="00315545">
      <w:pPr>
        <w:pStyle w:val="Heading2"/>
      </w:pPr>
      <w:bookmarkStart w:id="29" w:name="_Toc46398741"/>
      <w:r>
        <w:t>Permanent v Casual Workers</w:t>
      </w:r>
      <w:bookmarkEnd w:id="29"/>
    </w:p>
    <w:p w14:paraId="4C80030E" w14:textId="77777777" w:rsidR="007519CD" w:rsidRDefault="007519CD" w:rsidP="007519CD">
      <w:r>
        <w:t xml:space="preserve">The </w:t>
      </w:r>
      <w:r w:rsidR="00E27A53">
        <w:t>Cost Model</w:t>
      </w:r>
      <w:r>
        <w:t xml:space="preserve"> assumes that </w:t>
      </w:r>
      <w:r w:rsidR="003D05DD">
        <w:t>70</w:t>
      </w:r>
      <w:r>
        <w:t>% of the DSW workforce is permanently employed</w:t>
      </w:r>
      <w:r w:rsidR="00711713">
        <w:t>.</w:t>
      </w:r>
      <w:r w:rsidR="00711713">
        <w:rPr>
          <w:rStyle w:val="FootnoteReference"/>
        </w:rPr>
        <w:footnoteReference w:id="20"/>
      </w:r>
      <w:r w:rsidR="00711713">
        <w:t xml:space="preserve"> </w:t>
      </w:r>
    </w:p>
    <w:p w14:paraId="6601FB16" w14:textId="1F62C953" w:rsidR="007519CD" w:rsidRDefault="007519CD" w:rsidP="007519CD">
      <w:pPr>
        <w:pStyle w:val="Caption"/>
      </w:pPr>
      <w:bookmarkStart w:id="30" w:name="_Ref19027201"/>
      <w:r w:rsidRPr="00975FC4">
        <w:t xml:space="preserve">Table </w:t>
      </w:r>
      <w:r w:rsidR="003777EA">
        <w:fldChar w:fldCharType="begin"/>
      </w:r>
      <w:r w:rsidR="003777EA">
        <w:instrText xml:space="preserve"> SEQ Table \* ARABIC </w:instrText>
      </w:r>
      <w:r w:rsidR="003777EA">
        <w:fldChar w:fldCharType="separate"/>
      </w:r>
      <w:r w:rsidR="003777EA">
        <w:rPr>
          <w:noProof/>
        </w:rPr>
        <w:t>6</w:t>
      </w:r>
      <w:r w:rsidR="003777EA">
        <w:rPr>
          <w:noProof/>
        </w:rPr>
        <w:fldChar w:fldCharType="end"/>
      </w:r>
      <w:bookmarkEnd w:id="30"/>
      <w:r w:rsidRPr="00975FC4">
        <w:t xml:space="preserve">: </w:t>
      </w:r>
      <w:r>
        <w:t xml:space="preserve">Impact of Casual Loading on the Cost per </w:t>
      </w:r>
      <w:r w:rsidR="0086773C">
        <w:t>Worked</w:t>
      </w:r>
      <w:r>
        <w:t xml:space="preserve"> Hour of a DSW</w:t>
      </w:r>
    </w:p>
    <w:tbl>
      <w:tblPr>
        <w:tblStyle w:val="GridTable4-Accent4"/>
        <w:tblW w:w="5000" w:type="pct"/>
        <w:tblLook w:val="04A0" w:firstRow="1" w:lastRow="0" w:firstColumn="1" w:lastColumn="0" w:noHBand="0" w:noVBand="1"/>
        <w:tblDescription w:val="Table 6: Impact of Casual Loading on the Cost per Worked Hour of a DSW"/>
      </w:tblPr>
      <w:tblGrid>
        <w:gridCol w:w="4956"/>
        <w:gridCol w:w="994"/>
        <w:gridCol w:w="992"/>
        <w:gridCol w:w="992"/>
        <w:gridCol w:w="1082"/>
      </w:tblGrid>
      <w:tr w:rsidR="00996565" w:rsidRPr="003A3C03" w14:paraId="1F774203" w14:textId="77777777" w:rsidTr="00996565">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748" w:type="pct"/>
            <w:hideMark/>
          </w:tcPr>
          <w:p w14:paraId="750A7460" w14:textId="77777777" w:rsidR="00996565" w:rsidRPr="001A1BE7" w:rsidRDefault="00996565" w:rsidP="00996565">
            <w:pPr>
              <w:spacing w:before="40" w:after="40" w:line="240" w:lineRule="atLeast"/>
              <w:rPr>
                <w:rFonts w:cstheme="minorHAnsi"/>
                <w:sz w:val="18"/>
                <w:szCs w:val="18"/>
              </w:rPr>
            </w:pPr>
          </w:p>
        </w:tc>
        <w:tc>
          <w:tcPr>
            <w:tcW w:w="551" w:type="pct"/>
            <w:hideMark/>
          </w:tcPr>
          <w:p w14:paraId="2D1F6A9B" w14:textId="77777777" w:rsidR="00996565" w:rsidRPr="001A1BE7" w:rsidRDefault="00996565" w:rsidP="00996565">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1</w:t>
            </w:r>
          </w:p>
        </w:tc>
        <w:tc>
          <w:tcPr>
            <w:tcW w:w="550" w:type="pct"/>
          </w:tcPr>
          <w:p w14:paraId="29498D28" w14:textId="77777777" w:rsidR="00996565" w:rsidRPr="001A1BE7" w:rsidRDefault="00996565" w:rsidP="00996565">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Pr>
                <w:rFonts w:cstheme="minorHAnsi"/>
                <w:sz w:val="18"/>
                <w:szCs w:val="18"/>
              </w:rPr>
              <w:t>DSW 2</w:t>
            </w:r>
          </w:p>
        </w:tc>
        <w:tc>
          <w:tcPr>
            <w:tcW w:w="550" w:type="pct"/>
          </w:tcPr>
          <w:p w14:paraId="05B91100" w14:textId="77777777" w:rsidR="00996565" w:rsidRPr="001A1BE7" w:rsidRDefault="00996565" w:rsidP="00996565">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3</w:t>
            </w:r>
          </w:p>
        </w:tc>
        <w:tc>
          <w:tcPr>
            <w:tcW w:w="600" w:type="pct"/>
          </w:tcPr>
          <w:p w14:paraId="27CDDBD5" w14:textId="77777777" w:rsidR="00996565" w:rsidRDefault="00996565" w:rsidP="00996565">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4</w:t>
            </w:r>
          </w:p>
        </w:tc>
      </w:tr>
      <w:tr w:rsidR="00996565" w14:paraId="3F4D5C42"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14:paraId="3D2C3971" w14:textId="77777777" w:rsidR="00996565" w:rsidRPr="001A1BE7" w:rsidRDefault="00996565" w:rsidP="00996565">
            <w:pPr>
              <w:spacing w:before="40" w:after="40" w:line="240" w:lineRule="atLeast"/>
              <w:rPr>
                <w:rFonts w:cstheme="minorHAnsi"/>
                <w:sz w:val="18"/>
                <w:szCs w:val="18"/>
              </w:rPr>
            </w:pPr>
            <w:r>
              <w:rPr>
                <w:rFonts w:cstheme="minorHAnsi"/>
                <w:sz w:val="18"/>
                <w:szCs w:val="18"/>
              </w:rPr>
              <w:t>Cumulative cost per hour, at 100% permanent</w:t>
            </w:r>
          </w:p>
        </w:tc>
        <w:tc>
          <w:tcPr>
            <w:tcW w:w="551" w:type="pct"/>
            <w:noWrap/>
            <w:vAlign w:val="center"/>
            <w:hideMark/>
          </w:tcPr>
          <w:p w14:paraId="64A48169" w14:textId="77777777" w:rsidR="00996565" w:rsidRPr="00CD68BE"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227122">
              <w:rPr>
                <w:rFonts w:cstheme="minorHAnsi"/>
                <w:b/>
                <w:sz w:val="18"/>
                <w:szCs w:val="18"/>
              </w:rPr>
              <w:t>$</w:t>
            </w:r>
            <w:r>
              <w:rPr>
                <w:rFonts w:cstheme="minorHAnsi"/>
                <w:b/>
                <w:sz w:val="18"/>
                <w:szCs w:val="18"/>
              </w:rPr>
              <w:t>43.21</w:t>
            </w:r>
          </w:p>
        </w:tc>
        <w:tc>
          <w:tcPr>
            <w:tcW w:w="550" w:type="pct"/>
            <w:vAlign w:val="center"/>
          </w:tcPr>
          <w:p w14:paraId="16057F6D" w14:textId="77777777" w:rsidR="00996565" w:rsidRPr="00CD68BE"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lang w:eastAsia="en-AU"/>
              </w:rPr>
            </w:pPr>
            <w:r w:rsidRPr="00227122">
              <w:rPr>
                <w:rFonts w:cstheme="minorHAnsi"/>
                <w:b/>
                <w:sz w:val="18"/>
                <w:szCs w:val="18"/>
              </w:rPr>
              <w:t>$4</w:t>
            </w:r>
            <w:r>
              <w:rPr>
                <w:rFonts w:cstheme="minorHAnsi"/>
                <w:b/>
                <w:sz w:val="18"/>
                <w:szCs w:val="18"/>
              </w:rPr>
              <w:t>5.18</w:t>
            </w:r>
          </w:p>
        </w:tc>
        <w:tc>
          <w:tcPr>
            <w:tcW w:w="550" w:type="pct"/>
            <w:vAlign w:val="center"/>
          </w:tcPr>
          <w:p w14:paraId="6BF629C0" w14:textId="77777777" w:rsidR="00996565" w:rsidRPr="00CD68BE"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227122">
              <w:rPr>
                <w:rFonts w:cstheme="minorHAnsi"/>
                <w:b/>
                <w:sz w:val="18"/>
                <w:szCs w:val="18"/>
              </w:rPr>
              <w:t>$4</w:t>
            </w:r>
            <w:r>
              <w:rPr>
                <w:rFonts w:cstheme="minorHAnsi"/>
                <w:b/>
                <w:sz w:val="18"/>
                <w:szCs w:val="18"/>
              </w:rPr>
              <w:t>6.86</w:t>
            </w:r>
          </w:p>
        </w:tc>
        <w:tc>
          <w:tcPr>
            <w:tcW w:w="600" w:type="pct"/>
            <w:vAlign w:val="center"/>
          </w:tcPr>
          <w:p w14:paraId="5DAC8A95" w14:textId="77777777" w:rsidR="00996565" w:rsidRPr="00227122"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227122">
              <w:rPr>
                <w:rFonts w:cstheme="minorHAnsi"/>
                <w:b/>
                <w:sz w:val="18"/>
                <w:szCs w:val="18"/>
              </w:rPr>
              <w:t>$</w:t>
            </w:r>
            <w:r>
              <w:rPr>
                <w:rFonts w:cstheme="minorHAnsi"/>
                <w:b/>
                <w:sz w:val="18"/>
                <w:szCs w:val="18"/>
              </w:rPr>
              <w:t>55.98</w:t>
            </w:r>
          </w:p>
        </w:tc>
      </w:tr>
      <w:tr w:rsidR="00996565" w:rsidRPr="00CD68BE" w14:paraId="307C70CC"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14:paraId="15D9198F" w14:textId="77777777" w:rsidR="00996565" w:rsidRPr="00CD68BE" w:rsidRDefault="00996565" w:rsidP="00996565">
            <w:pPr>
              <w:spacing w:before="40" w:after="40" w:line="240" w:lineRule="atLeast"/>
              <w:rPr>
                <w:rFonts w:cstheme="minorHAnsi"/>
                <w:b w:val="0"/>
                <w:sz w:val="18"/>
                <w:szCs w:val="18"/>
              </w:rPr>
            </w:pPr>
            <w:bookmarkStart w:id="31" w:name="OLE_LINK5"/>
            <w:r w:rsidRPr="00CD68BE">
              <w:rPr>
                <w:rFonts w:cstheme="minorHAnsi"/>
                <w:b w:val="0"/>
                <w:sz w:val="18"/>
                <w:szCs w:val="18"/>
              </w:rPr>
              <w:t xml:space="preserve">Cumulative cost per hour, at </w:t>
            </w:r>
            <w:r>
              <w:rPr>
                <w:rFonts w:cstheme="minorHAnsi"/>
                <w:b w:val="0"/>
                <w:sz w:val="18"/>
                <w:szCs w:val="18"/>
              </w:rPr>
              <w:t>70</w:t>
            </w:r>
            <w:r w:rsidRPr="00CD68BE">
              <w:rPr>
                <w:rFonts w:cstheme="minorHAnsi"/>
                <w:b w:val="0"/>
                <w:sz w:val="18"/>
                <w:szCs w:val="18"/>
              </w:rPr>
              <w:t>% permanent</w:t>
            </w:r>
            <w:bookmarkEnd w:id="31"/>
          </w:p>
        </w:tc>
        <w:tc>
          <w:tcPr>
            <w:tcW w:w="551" w:type="pct"/>
            <w:noWrap/>
            <w:hideMark/>
          </w:tcPr>
          <w:p w14:paraId="44B644A9" w14:textId="77777777" w:rsidR="00996565" w:rsidRPr="00CD68BE"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D68BE">
              <w:rPr>
                <w:rFonts w:cstheme="minorHAnsi"/>
                <w:sz w:val="18"/>
                <w:szCs w:val="18"/>
              </w:rPr>
              <w:t>$</w:t>
            </w:r>
            <w:r>
              <w:rPr>
                <w:rFonts w:cstheme="minorHAnsi"/>
                <w:sz w:val="18"/>
                <w:szCs w:val="18"/>
              </w:rPr>
              <w:t>43.73</w:t>
            </w:r>
          </w:p>
        </w:tc>
        <w:tc>
          <w:tcPr>
            <w:tcW w:w="550" w:type="pct"/>
          </w:tcPr>
          <w:p w14:paraId="1F74ECB3" w14:textId="77777777" w:rsidR="00996565" w:rsidRPr="00CD68BE"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18"/>
                <w:szCs w:val="18"/>
                <w:lang w:eastAsia="en-AU"/>
              </w:rPr>
            </w:pPr>
            <w:r>
              <w:rPr>
                <w:rFonts w:cstheme="minorHAnsi"/>
                <w:bCs/>
                <w:color w:val="000000"/>
                <w:sz w:val="18"/>
                <w:szCs w:val="18"/>
                <w:lang w:eastAsia="en-AU"/>
              </w:rPr>
              <w:t>$45.71</w:t>
            </w:r>
          </w:p>
        </w:tc>
        <w:tc>
          <w:tcPr>
            <w:tcW w:w="550" w:type="pct"/>
          </w:tcPr>
          <w:p w14:paraId="63A958AE" w14:textId="77777777" w:rsidR="00996565" w:rsidRPr="00CD68BE"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D68BE">
              <w:rPr>
                <w:rFonts w:cstheme="minorHAnsi"/>
                <w:sz w:val="18"/>
                <w:szCs w:val="18"/>
              </w:rPr>
              <w:t>$</w:t>
            </w:r>
            <w:r>
              <w:rPr>
                <w:rFonts w:cstheme="minorHAnsi"/>
                <w:sz w:val="18"/>
                <w:szCs w:val="18"/>
              </w:rPr>
              <w:t>47.41</w:t>
            </w:r>
          </w:p>
        </w:tc>
        <w:tc>
          <w:tcPr>
            <w:tcW w:w="600" w:type="pct"/>
          </w:tcPr>
          <w:p w14:paraId="72BBFA40" w14:textId="77777777" w:rsidR="00996565" w:rsidRPr="00CD68BE"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CD68BE">
              <w:rPr>
                <w:rFonts w:cstheme="minorHAnsi"/>
                <w:sz w:val="18"/>
                <w:szCs w:val="18"/>
              </w:rPr>
              <w:t>$</w:t>
            </w:r>
            <w:r>
              <w:rPr>
                <w:rFonts w:cstheme="minorHAnsi"/>
                <w:sz w:val="18"/>
                <w:szCs w:val="18"/>
              </w:rPr>
              <w:t>56.65</w:t>
            </w:r>
          </w:p>
        </w:tc>
      </w:tr>
      <w:tr w:rsidR="00996565" w:rsidRPr="00CD68BE" w14:paraId="1D43669F"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31000C37" w14:textId="77777777" w:rsidR="00996565" w:rsidRPr="00CD68BE" w:rsidRDefault="00996565" w:rsidP="00996565">
            <w:pPr>
              <w:spacing w:before="40" w:after="40" w:line="240" w:lineRule="atLeast"/>
              <w:rPr>
                <w:rFonts w:cstheme="minorHAnsi"/>
                <w:sz w:val="18"/>
                <w:szCs w:val="18"/>
              </w:rPr>
            </w:pPr>
            <w:r>
              <w:rPr>
                <w:rFonts w:cstheme="minorHAnsi"/>
                <w:sz w:val="18"/>
                <w:szCs w:val="18"/>
              </w:rPr>
              <w:t>Effect of casual loading</w:t>
            </w:r>
          </w:p>
        </w:tc>
        <w:tc>
          <w:tcPr>
            <w:tcW w:w="551" w:type="pct"/>
            <w:noWrap/>
            <w:vAlign w:val="center"/>
          </w:tcPr>
          <w:p w14:paraId="69E1661B" w14:textId="77777777" w:rsidR="00996565" w:rsidRPr="00CD68BE"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1.2</w:t>
            </w:r>
            <w:r w:rsidRPr="00CD68BE">
              <w:rPr>
                <w:rFonts w:cstheme="minorHAnsi"/>
                <w:b/>
                <w:sz w:val="18"/>
                <w:szCs w:val="18"/>
              </w:rPr>
              <w:t>%</w:t>
            </w:r>
          </w:p>
        </w:tc>
        <w:tc>
          <w:tcPr>
            <w:tcW w:w="550" w:type="pct"/>
            <w:vAlign w:val="center"/>
          </w:tcPr>
          <w:p w14:paraId="071708A2" w14:textId="77777777" w:rsidR="00996565" w:rsidRPr="00CD68BE"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1.2</w:t>
            </w:r>
            <w:r w:rsidRPr="00CD68BE">
              <w:rPr>
                <w:rFonts w:cstheme="minorHAnsi"/>
                <w:b/>
                <w:sz w:val="18"/>
                <w:szCs w:val="18"/>
              </w:rPr>
              <w:t>%</w:t>
            </w:r>
          </w:p>
        </w:tc>
        <w:tc>
          <w:tcPr>
            <w:tcW w:w="550" w:type="pct"/>
            <w:vAlign w:val="center"/>
          </w:tcPr>
          <w:p w14:paraId="19B2D4C5" w14:textId="77777777" w:rsidR="00996565" w:rsidRPr="00CD68BE"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1.2</w:t>
            </w:r>
            <w:r w:rsidRPr="00CD68BE">
              <w:rPr>
                <w:rFonts w:cstheme="minorHAnsi"/>
                <w:b/>
                <w:sz w:val="18"/>
                <w:szCs w:val="18"/>
              </w:rPr>
              <w:t>%</w:t>
            </w:r>
          </w:p>
        </w:tc>
        <w:tc>
          <w:tcPr>
            <w:tcW w:w="600" w:type="pct"/>
            <w:vAlign w:val="center"/>
          </w:tcPr>
          <w:p w14:paraId="7C993998" w14:textId="77777777" w:rsidR="00996565"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1.2</w:t>
            </w:r>
            <w:r w:rsidRPr="00CD68BE">
              <w:rPr>
                <w:rFonts w:cstheme="minorHAnsi"/>
                <w:b/>
                <w:sz w:val="18"/>
                <w:szCs w:val="18"/>
              </w:rPr>
              <w:t>%</w:t>
            </w:r>
          </w:p>
        </w:tc>
      </w:tr>
      <w:tr w:rsidR="00996565" w14:paraId="280781D9"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3DC4928A" w14:textId="77777777" w:rsidR="00996565" w:rsidRPr="005C6DDE" w:rsidRDefault="00996565" w:rsidP="00996565">
            <w:pPr>
              <w:spacing w:before="40" w:after="40" w:line="240" w:lineRule="atLeast"/>
              <w:rPr>
                <w:rFonts w:cstheme="minorHAnsi"/>
                <w:b w:val="0"/>
                <w:sz w:val="18"/>
                <w:szCs w:val="18"/>
              </w:rPr>
            </w:pPr>
            <w:r w:rsidRPr="005C6DDE">
              <w:rPr>
                <w:rFonts w:cstheme="minorHAnsi"/>
                <w:b w:val="0"/>
                <w:sz w:val="18"/>
                <w:szCs w:val="18"/>
              </w:rPr>
              <w:t xml:space="preserve">Cumulative </w:t>
            </w:r>
            <w:r>
              <w:rPr>
                <w:rFonts w:cstheme="minorHAnsi"/>
                <w:b w:val="0"/>
                <w:sz w:val="18"/>
                <w:szCs w:val="18"/>
              </w:rPr>
              <w:t>i</w:t>
            </w:r>
            <w:r w:rsidRPr="001A1BE7">
              <w:rPr>
                <w:rFonts w:cstheme="minorHAnsi"/>
                <w:b w:val="0"/>
                <w:sz w:val="18"/>
                <w:szCs w:val="18"/>
              </w:rPr>
              <w:t xml:space="preserve">ncrease from </w:t>
            </w:r>
            <w:r>
              <w:rPr>
                <w:rFonts w:cstheme="minorHAnsi"/>
                <w:b w:val="0"/>
                <w:sz w:val="18"/>
                <w:szCs w:val="18"/>
              </w:rPr>
              <w:t>standard hourly rate</w:t>
            </w:r>
          </w:p>
        </w:tc>
        <w:tc>
          <w:tcPr>
            <w:tcW w:w="551" w:type="pct"/>
            <w:noWrap/>
            <w:vAlign w:val="center"/>
          </w:tcPr>
          <w:p w14:paraId="39369B7D" w14:textId="77777777" w:rsidR="00996565"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47.9%</w:t>
            </w:r>
          </w:p>
        </w:tc>
        <w:tc>
          <w:tcPr>
            <w:tcW w:w="550" w:type="pct"/>
            <w:vAlign w:val="center"/>
          </w:tcPr>
          <w:p w14:paraId="7EF7DEB3" w14:textId="77777777" w:rsidR="00996565"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48.9%</w:t>
            </w:r>
          </w:p>
        </w:tc>
        <w:tc>
          <w:tcPr>
            <w:tcW w:w="550" w:type="pct"/>
            <w:vAlign w:val="center"/>
          </w:tcPr>
          <w:p w14:paraId="0627867F" w14:textId="77777777" w:rsidR="00996565"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48.5%</w:t>
            </w:r>
          </w:p>
        </w:tc>
        <w:tc>
          <w:tcPr>
            <w:tcW w:w="600" w:type="pct"/>
            <w:vAlign w:val="center"/>
          </w:tcPr>
          <w:p w14:paraId="355F6737" w14:textId="77777777" w:rsidR="00996565"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47.8%</w:t>
            </w:r>
          </w:p>
        </w:tc>
      </w:tr>
    </w:tbl>
    <w:p w14:paraId="430D25A4" w14:textId="77777777" w:rsidR="00F52078" w:rsidRDefault="00F52078" w:rsidP="00315545">
      <w:pPr>
        <w:pStyle w:val="Heading2"/>
      </w:pPr>
      <w:bookmarkStart w:id="32" w:name="_Toc46398742"/>
      <w:r>
        <w:t>Utilisation</w:t>
      </w:r>
      <w:bookmarkEnd w:id="32"/>
    </w:p>
    <w:p w14:paraId="6A69ED2D" w14:textId="77777777" w:rsidR="00B06227" w:rsidRDefault="00227122" w:rsidP="00436C40">
      <w:r>
        <w:t xml:space="preserve">The </w:t>
      </w:r>
      <w:r w:rsidR="00E27A53">
        <w:t>Cost Model</w:t>
      </w:r>
      <w:r w:rsidR="00436C40">
        <w:t xml:space="preserve"> recognises that not all worked</w:t>
      </w:r>
      <w:r>
        <w:t xml:space="preserve"> hours are billable. For example, the SCHADS Award provides that a DSW should have a ten minute paid break from work every four hours. DSWs also need to undertake training and attend to other issues.</w:t>
      </w:r>
      <w:r w:rsidR="00134E17">
        <w:t xml:space="preserve"> </w:t>
      </w:r>
      <w:r w:rsidR="00CD7CF3">
        <w:t xml:space="preserve">The </w:t>
      </w:r>
      <w:r w:rsidR="00E27A53">
        <w:t>Cost Model</w:t>
      </w:r>
      <w:r w:rsidR="00CD7CF3">
        <w:t xml:space="preserve"> assumes that higher skilled workers with more responsibilities may require more non-billable hours, to maintain their skills and deal with other issues.</w:t>
      </w:r>
      <w:r w:rsidR="00FF5A37">
        <w:t xml:space="preserve"> Accordingly, the </w:t>
      </w:r>
      <w:r w:rsidR="00E27A53">
        <w:t>Cost Model</w:t>
      </w:r>
      <w:r w:rsidR="00FF5A37">
        <w:t xml:space="preserve"> sets the </w:t>
      </w:r>
      <w:r w:rsidR="00321FEE">
        <w:t>utilisation level at 92</w:t>
      </w:r>
      <w:r w:rsidR="00625FD5">
        <w:t>.0</w:t>
      </w:r>
      <w:r w:rsidR="00321FEE">
        <w:t>% for</w:t>
      </w:r>
      <w:r w:rsidR="005147FD">
        <w:t xml:space="preserve"> </w:t>
      </w:r>
      <w:r w:rsidR="00996565">
        <w:t>DSW 1</w:t>
      </w:r>
      <w:r w:rsidR="00321FEE">
        <w:t xml:space="preserve">s, </w:t>
      </w:r>
      <w:r w:rsidR="00625FD5">
        <w:t>89</w:t>
      </w:r>
      <w:r w:rsidR="00E302D9">
        <w:t xml:space="preserve">.0% for </w:t>
      </w:r>
      <w:r w:rsidR="00996565">
        <w:t>DSW 2</w:t>
      </w:r>
      <w:r w:rsidR="00E302D9">
        <w:t xml:space="preserve">s; </w:t>
      </w:r>
      <w:r w:rsidR="00321FEE">
        <w:t xml:space="preserve">87.7% for </w:t>
      </w:r>
      <w:r w:rsidR="00996565">
        <w:t>DSW 3</w:t>
      </w:r>
      <w:r w:rsidR="00321FEE">
        <w:t>s</w:t>
      </w:r>
      <w:r w:rsidR="00E302D9">
        <w:t xml:space="preserve">; and 80% for </w:t>
      </w:r>
      <w:r w:rsidR="00996565">
        <w:t>DSW 4</w:t>
      </w:r>
      <w:r w:rsidR="00E302D9">
        <w:t>s</w:t>
      </w:r>
      <w:r w:rsidR="00436C40">
        <w:t>.</w:t>
      </w:r>
      <w:r w:rsidR="00436C40">
        <w:rPr>
          <w:rStyle w:val="FootnoteReference"/>
        </w:rPr>
        <w:footnoteReference w:id="21"/>
      </w:r>
    </w:p>
    <w:p w14:paraId="7CBCC710" w14:textId="77777777" w:rsidR="00CD7CF3" w:rsidRDefault="00CD7CF3" w:rsidP="00227122">
      <w:r>
        <w:t xml:space="preserve">The </w:t>
      </w:r>
      <w:r w:rsidR="00E27A53">
        <w:t>Cost Model</w:t>
      </w:r>
      <w:r>
        <w:t xml:space="preserve"> assumes that supervisors have the same rate of non-billable hours as </w:t>
      </w:r>
      <w:r w:rsidR="006A50F1">
        <w:t>DSWs.</w:t>
      </w:r>
    </w:p>
    <w:p w14:paraId="712DAA58" w14:textId="2437A7AB" w:rsidR="00CD68BE" w:rsidRDefault="00F52078" w:rsidP="00CD68BE">
      <w:pPr>
        <w:pStyle w:val="Caption"/>
      </w:pPr>
      <w:bookmarkStart w:id="33" w:name="_Ref19044855"/>
      <w:r w:rsidRPr="00975FC4">
        <w:t xml:space="preserve">Table </w:t>
      </w:r>
      <w:r w:rsidR="003777EA">
        <w:fldChar w:fldCharType="begin"/>
      </w:r>
      <w:r w:rsidR="003777EA">
        <w:instrText xml:space="preserve"> SEQ Table \* ARABIC </w:instrText>
      </w:r>
      <w:r w:rsidR="003777EA">
        <w:fldChar w:fldCharType="separate"/>
      </w:r>
      <w:r w:rsidR="003777EA">
        <w:rPr>
          <w:noProof/>
        </w:rPr>
        <w:t>7</w:t>
      </w:r>
      <w:r w:rsidR="003777EA">
        <w:rPr>
          <w:noProof/>
        </w:rPr>
        <w:fldChar w:fldCharType="end"/>
      </w:r>
      <w:bookmarkEnd w:id="33"/>
      <w:r w:rsidRPr="00975FC4">
        <w:t xml:space="preserve">: </w:t>
      </w:r>
      <w:r w:rsidR="00CD68BE">
        <w:t>Impact of U</w:t>
      </w:r>
      <w:r>
        <w:t xml:space="preserve">tilisation on </w:t>
      </w:r>
      <w:r w:rsidR="00CD68BE">
        <w:t>the Cost per Billable Hour of a DSW</w:t>
      </w:r>
    </w:p>
    <w:tbl>
      <w:tblPr>
        <w:tblStyle w:val="GridTable4-Accent4"/>
        <w:tblW w:w="5000" w:type="pct"/>
        <w:tblLook w:val="04A0" w:firstRow="1" w:lastRow="0" w:firstColumn="1" w:lastColumn="0" w:noHBand="0" w:noVBand="1"/>
        <w:tblDescription w:val="Table 7: Impact of Utilisation on the Cost per Billable Hour of a DSW"/>
      </w:tblPr>
      <w:tblGrid>
        <w:gridCol w:w="4956"/>
        <w:gridCol w:w="994"/>
        <w:gridCol w:w="992"/>
        <w:gridCol w:w="992"/>
        <w:gridCol w:w="1082"/>
      </w:tblGrid>
      <w:tr w:rsidR="00996565" w:rsidRPr="003A3C03" w14:paraId="50B37146" w14:textId="77777777" w:rsidTr="00996565">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748" w:type="pct"/>
            <w:hideMark/>
          </w:tcPr>
          <w:p w14:paraId="7FECE3C8" w14:textId="77777777" w:rsidR="00996565" w:rsidRPr="001A1BE7" w:rsidRDefault="00996565" w:rsidP="00996565">
            <w:pPr>
              <w:keepNext/>
              <w:spacing w:before="40" w:after="40" w:line="240" w:lineRule="atLeast"/>
              <w:rPr>
                <w:rFonts w:cstheme="minorHAnsi"/>
                <w:sz w:val="18"/>
                <w:szCs w:val="18"/>
              </w:rPr>
            </w:pPr>
          </w:p>
        </w:tc>
        <w:tc>
          <w:tcPr>
            <w:tcW w:w="551" w:type="pct"/>
            <w:hideMark/>
          </w:tcPr>
          <w:p w14:paraId="3DEB6C90" w14:textId="77777777" w:rsidR="00996565" w:rsidRPr="001A1BE7" w:rsidRDefault="00996565" w:rsidP="00996565">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1</w:t>
            </w:r>
          </w:p>
        </w:tc>
        <w:tc>
          <w:tcPr>
            <w:tcW w:w="550" w:type="pct"/>
          </w:tcPr>
          <w:p w14:paraId="0BB0A25D" w14:textId="77777777" w:rsidR="00996565" w:rsidRPr="001A1BE7" w:rsidRDefault="00996565" w:rsidP="00996565">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Pr>
                <w:rFonts w:cstheme="minorHAnsi"/>
                <w:sz w:val="18"/>
                <w:szCs w:val="18"/>
              </w:rPr>
              <w:t>DSW 2</w:t>
            </w:r>
          </w:p>
        </w:tc>
        <w:tc>
          <w:tcPr>
            <w:tcW w:w="550" w:type="pct"/>
          </w:tcPr>
          <w:p w14:paraId="1251794B" w14:textId="77777777" w:rsidR="00996565" w:rsidRPr="001A1BE7" w:rsidRDefault="00996565" w:rsidP="00996565">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3</w:t>
            </w:r>
          </w:p>
        </w:tc>
        <w:tc>
          <w:tcPr>
            <w:tcW w:w="600" w:type="pct"/>
          </w:tcPr>
          <w:p w14:paraId="5AA6EBDD" w14:textId="77777777" w:rsidR="00996565" w:rsidRDefault="00996565" w:rsidP="00996565">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4</w:t>
            </w:r>
          </w:p>
        </w:tc>
      </w:tr>
      <w:tr w:rsidR="00996565" w14:paraId="530A8046"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14:paraId="0F0D6B2A" w14:textId="77777777" w:rsidR="00996565" w:rsidRPr="001A1BE7" w:rsidRDefault="00996565" w:rsidP="00996565">
            <w:pPr>
              <w:keepNext/>
              <w:spacing w:before="40" w:after="40" w:line="240" w:lineRule="atLeast"/>
              <w:rPr>
                <w:rFonts w:cstheme="minorHAnsi"/>
                <w:sz w:val="18"/>
                <w:szCs w:val="18"/>
              </w:rPr>
            </w:pPr>
            <w:r>
              <w:rPr>
                <w:rFonts w:cstheme="minorHAnsi"/>
                <w:sz w:val="18"/>
                <w:szCs w:val="18"/>
              </w:rPr>
              <w:t>Cumulative cost per hour, before utilisation</w:t>
            </w:r>
          </w:p>
        </w:tc>
        <w:tc>
          <w:tcPr>
            <w:tcW w:w="551" w:type="pct"/>
            <w:noWrap/>
            <w:hideMark/>
          </w:tcPr>
          <w:p w14:paraId="10D4F0D8" w14:textId="77777777" w:rsidR="00996565" w:rsidRPr="009768B0"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768B0">
              <w:rPr>
                <w:rFonts w:cstheme="minorHAnsi"/>
                <w:b/>
                <w:sz w:val="18"/>
                <w:szCs w:val="18"/>
              </w:rPr>
              <w:t>$43.73</w:t>
            </w:r>
          </w:p>
        </w:tc>
        <w:tc>
          <w:tcPr>
            <w:tcW w:w="550" w:type="pct"/>
          </w:tcPr>
          <w:p w14:paraId="542845FD" w14:textId="77777777" w:rsidR="00996565" w:rsidRPr="009768B0"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768B0">
              <w:rPr>
                <w:rFonts w:cstheme="minorHAnsi"/>
                <w:b/>
                <w:bCs/>
                <w:color w:val="000000"/>
                <w:sz w:val="18"/>
                <w:szCs w:val="18"/>
                <w:lang w:eastAsia="en-AU"/>
              </w:rPr>
              <w:t>$45.71</w:t>
            </w:r>
          </w:p>
        </w:tc>
        <w:tc>
          <w:tcPr>
            <w:tcW w:w="550" w:type="pct"/>
          </w:tcPr>
          <w:p w14:paraId="2811EB9B" w14:textId="77777777" w:rsidR="00996565" w:rsidRPr="009768B0"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9768B0">
              <w:rPr>
                <w:rFonts w:cstheme="minorHAnsi"/>
                <w:b/>
                <w:sz w:val="18"/>
                <w:szCs w:val="18"/>
              </w:rPr>
              <w:t>$47.41</w:t>
            </w:r>
          </w:p>
        </w:tc>
        <w:tc>
          <w:tcPr>
            <w:tcW w:w="600" w:type="pct"/>
          </w:tcPr>
          <w:p w14:paraId="528853FA" w14:textId="77777777" w:rsidR="00996565" w:rsidRPr="009768B0"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56.65</w:t>
            </w:r>
          </w:p>
        </w:tc>
      </w:tr>
      <w:tr w:rsidR="00996565" w:rsidRPr="00CD68BE" w14:paraId="6A315983"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14:paraId="54E7F131" w14:textId="77777777" w:rsidR="00996565" w:rsidRPr="00CD68BE" w:rsidRDefault="00996565" w:rsidP="00996565">
            <w:pPr>
              <w:keepNext/>
              <w:spacing w:before="40" w:after="40" w:line="240" w:lineRule="atLeast"/>
              <w:rPr>
                <w:rFonts w:cstheme="minorHAnsi"/>
                <w:sz w:val="18"/>
                <w:szCs w:val="18"/>
              </w:rPr>
            </w:pPr>
            <w:r w:rsidRPr="00CD68BE">
              <w:rPr>
                <w:rFonts w:cstheme="minorHAnsi"/>
                <w:sz w:val="18"/>
                <w:szCs w:val="18"/>
              </w:rPr>
              <w:t>Util</w:t>
            </w:r>
            <w:r>
              <w:rPr>
                <w:rFonts w:cstheme="minorHAnsi"/>
                <w:sz w:val="18"/>
                <w:szCs w:val="18"/>
              </w:rPr>
              <w:t>i</w:t>
            </w:r>
            <w:r w:rsidRPr="00CD68BE">
              <w:rPr>
                <w:rFonts w:cstheme="minorHAnsi"/>
                <w:sz w:val="18"/>
                <w:szCs w:val="18"/>
              </w:rPr>
              <w:t>sation rates</w:t>
            </w:r>
          </w:p>
        </w:tc>
        <w:tc>
          <w:tcPr>
            <w:tcW w:w="551" w:type="pct"/>
            <w:noWrap/>
          </w:tcPr>
          <w:p w14:paraId="611CD6FD" w14:textId="77777777" w:rsidR="00996565" w:rsidRPr="00CD68B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tcPr>
          <w:p w14:paraId="2A70A138" w14:textId="77777777" w:rsidR="00996565" w:rsidRPr="00384F8D"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tcPr>
          <w:p w14:paraId="3DE5BE1B" w14:textId="77777777" w:rsidR="00996565" w:rsidRPr="00CD68B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00" w:type="pct"/>
          </w:tcPr>
          <w:p w14:paraId="31BAE6B4" w14:textId="77777777" w:rsidR="00996565" w:rsidRPr="00CD68B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996565" w:rsidRPr="00CD68BE" w14:paraId="6A642388"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0243D36E" w14:textId="77777777" w:rsidR="00996565" w:rsidRPr="00CD68BE" w:rsidRDefault="00996565" w:rsidP="00996565">
            <w:pPr>
              <w:keepNext/>
              <w:spacing w:before="40" w:after="40" w:line="240" w:lineRule="atLeast"/>
              <w:ind w:left="593"/>
              <w:rPr>
                <w:rFonts w:cstheme="minorHAnsi"/>
                <w:b w:val="0"/>
                <w:sz w:val="18"/>
                <w:szCs w:val="18"/>
              </w:rPr>
            </w:pPr>
            <w:r w:rsidRPr="00CD68BE">
              <w:rPr>
                <w:rFonts w:cstheme="minorHAnsi"/>
                <w:b w:val="0"/>
                <w:sz w:val="18"/>
                <w:szCs w:val="18"/>
              </w:rPr>
              <w:t>Breaks</w:t>
            </w:r>
          </w:p>
        </w:tc>
        <w:tc>
          <w:tcPr>
            <w:tcW w:w="551" w:type="pct"/>
            <w:noWrap/>
            <w:vAlign w:val="center"/>
          </w:tcPr>
          <w:p w14:paraId="7F12D875" w14:textId="77777777" w:rsidR="00996565" w:rsidRPr="00CD68B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CD68BE">
              <w:rPr>
                <w:rFonts w:cstheme="minorHAnsi"/>
                <w:sz w:val="18"/>
                <w:szCs w:val="18"/>
              </w:rPr>
              <w:t>4.17%</w:t>
            </w:r>
          </w:p>
        </w:tc>
        <w:tc>
          <w:tcPr>
            <w:tcW w:w="550" w:type="pct"/>
            <w:vAlign w:val="center"/>
          </w:tcPr>
          <w:p w14:paraId="1106F4E0" w14:textId="77777777" w:rsidR="00996565" w:rsidRPr="00CD68B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4.17%</w:t>
            </w:r>
          </w:p>
        </w:tc>
        <w:tc>
          <w:tcPr>
            <w:tcW w:w="550" w:type="pct"/>
            <w:vAlign w:val="center"/>
          </w:tcPr>
          <w:p w14:paraId="52ECDCDD" w14:textId="77777777" w:rsidR="00996565" w:rsidRPr="00CD68B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4.17%</w:t>
            </w:r>
          </w:p>
        </w:tc>
        <w:tc>
          <w:tcPr>
            <w:tcW w:w="600" w:type="pct"/>
            <w:vAlign w:val="center"/>
          </w:tcPr>
          <w:p w14:paraId="63E1D98F" w14:textId="77777777" w:rsidR="00996565"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4.17%</w:t>
            </w:r>
          </w:p>
        </w:tc>
      </w:tr>
      <w:tr w:rsidR="00996565" w:rsidRPr="00CD68BE" w14:paraId="75CB3986"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1EB3F76B" w14:textId="77777777" w:rsidR="00996565" w:rsidRPr="00CD68BE" w:rsidRDefault="00996565" w:rsidP="00996565">
            <w:pPr>
              <w:keepNext/>
              <w:spacing w:before="40" w:after="40" w:line="240" w:lineRule="atLeast"/>
              <w:ind w:left="593"/>
              <w:rPr>
                <w:rFonts w:cstheme="minorHAnsi"/>
                <w:b w:val="0"/>
                <w:sz w:val="18"/>
                <w:szCs w:val="18"/>
              </w:rPr>
            </w:pPr>
            <w:r>
              <w:rPr>
                <w:rFonts w:cstheme="minorHAnsi"/>
                <w:b w:val="0"/>
                <w:sz w:val="18"/>
                <w:szCs w:val="18"/>
              </w:rPr>
              <w:t>Training</w:t>
            </w:r>
          </w:p>
        </w:tc>
        <w:tc>
          <w:tcPr>
            <w:tcW w:w="551" w:type="pct"/>
            <w:noWrap/>
            <w:vAlign w:val="center"/>
          </w:tcPr>
          <w:p w14:paraId="792783A2" w14:textId="77777777" w:rsidR="00996565" w:rsidRPr="00CD68B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3.29%</w:t>
            </w:r>
          </w:p>
        </w:tc>
        <w:tc>
          <w:tcPr>
            <w:tcW w:w="550" w:type="pct"/>
            <w:vAlign w:val="center"/>
          </w:tcPr>
          <w:p w14:paraId="7BF1CDCB" w14:textId="77777777" w:rsidR="00996565" w:rsidRPr="00CD68B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6.58%</w:t>
            </w:r>
          </w:p>
        </w:tc>
        <w:tc>
          <w:tcPr>
            <w:tcW w:w="550" w:type="pct"/>
            <w:vAlign w:val="center"/>
          </w:tcPr>
          <w:p w14:paraId="0670CCFA" w14:textId="77777777" w:rsidR="00996565" w:rsidRPr="00CD68B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7.89%</w:t>
            </w:r>
          </w:p>
        </w:tc>
        <w:tc>
          <w:tcPr>
            <w:tcW w:w="600" w:type="pct"/>
            <w:vAlign w:val="center"/>
          </w:tcPr>
          <w:p w14:paraId="30743969" w14:textId="77777777" w:rsidR="00996565"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7.89%</w:t>
            </w:r>
          </w:p>
        </w:tc>
      </w:tr>
      <w:tr w:rsidR="00996565" w:rsidRPr="00CD68BE" w14:paraId="1F440E63"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106AB55B" w14:textId="77777777" w:rsidR="00996565" w:rsidRPr="00CD68BE" w:rsidRDefault="00996565" w:rsidP="00996565">
            <w:pPr>
              <w:keepNext/>
              <w:spacing w:before="40" w:after="40" w:line="240" w:lineRule="atLeast"/>
              <w:ind w:left="593"/>
              <w:rPr>
                <w:rFonts w:cstheme="minorHAnsi"/>
                <w:b w:val="0"/>
                <w:sz w:val="18"/>
                <w:szCs w:val="18"/>
              </w:rPr>
            </w:pPr>
            <w:r w:rsidRPr="00CD68BE">
              <w:rPr>
                <w:rFonts w:cstheme="minorHAnsi"/>
                <w:b w:val="0"/>
                <w:sz w:val="18"/>
                <w:szCs w:val="18"/>
              </w:rPr>
              <w:t>Other</w:t>
            </w:r>
          </w:p>
        </w:tc>
        <w:tc>
          <w:tcPr>
            <w:tcW w:w="551" w:type="pct"/>
            <w:noWrap/>
            <w:vAlign w:val="center"/>
          </w:tcPr>
          <w:p w14:paraId="68BC1848" w14:textId="77777777" w:rsidR="00996565" w:rsidRPr="00CD68B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0.54%</w:t>
            </w:r>
          </w:p>
        </w:tc>
        <w:tc>
          <w:tcPr>
            <w:tcW w:w="550" w:type="pct"/>
            <w:vAlign w:val="center"/>
          </w:tcPr>
          <w:p w14:paraId="12FC7327" w14:textId="77777777" w:rsidR="00996565" w:rsidRPr="00CD68B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0.25%</w:t>
            </w:r>
          </w:p>
        </w:tc>
        <w:tc>
          <w:tcPr>
            <w:tcW w:w="550" w:type="pct"/>
            <w:vAlign w:val="center"/>
          </w:tcPr>
          <w:p w14:paraId="79DA4F58" w14:textId="77777777" w:rsidR="00996565" w:rsidRPr="00CD68B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0.24%</w:t>
            </w:r>
          </w:p>
        </w:tc>
        <w:tc>
          <w:tcPr>
            <w:tcW w:w="600" w:type="pct"/>
            <w:vAlign w:val="center"/>
          </w:tcPr>
          <w:p w14:paraId="4722DB4E" w14:textId="77777777" w:rsidR="00996565"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7.94%</w:t>
            </w:r>
          </w:p>
        </w:tc>
      </w:tr>
      <w:tr w:rsidR="00996565" w:rsidRPr="00CD68BE" w14:paraId="42A2F766"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10E8B7A5" w14:textId="77777777" w:rsidR="00996565" w:rsidRPr="00CD68BE" w:rsidRDefault="00996565" w:rsidP="00996565">
            <w:pPr>
              <w:keepNext/>
              <w:spacing w:before="40" w:after="40" w:line="240" w:lineRule="atLeast"/>
              <w:ind w:left="593"/>
              <w:rPr>
                <w:rFonts w:cstheme="minorHAnsi"/>
                <w:sz w:val="18"/>
                <w:szCs w:val="18"/>
              </w:rPr>
            </w:pPr>
            <w:r w:rsidRPr="00CD68BE">
              <w:rPr>
                <w:rFonts w:cstheme="minorHAnsi"/>
                <w:sz w:val="18"/>
                <w:szCs w:val="18"/>
              </w:rPr>
              <w:t>Total Utilisation</w:t>
            </w:r>
            <w:r>
              <w:rPr>
                <w:rFonts w:cstheme="minorHAnsi"/>
                <w:sz w:val="18"/>
                <w:szCs w:val="18"/>
              </w:rPr>
              <w:t xml:space="preserve"> (%)</w:t>
            </w:r>
          </w:p>
        </w:tc>
        <w:tc>
          <w:tcPr>
            <w:tcW w:w="551" w:type="pct"/>
            <w:noWrap/>
            <w:vAlign w:val="center"/>
          </w:tcPr>
          <w:p w14:paraId="4AD9F9F3" w14:textId="77777777" w:rsidR="00996565" w:rsidRPr="00CD68B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92.0%</w:t>
            </w:r>
          </w:p>
        </w:tc>
        <w:tc>
          <w:tcPr>
            <w:tcW w:w="550" w:type="pct"/>
            <w:vAlign w:val="center"/>
          </w:tcPr>
          <w:p w14:paraId="2756C448" w14:textId="77777777" w:rsidR="00996565" w:rsidRPr="00CD68B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89.0%</w:t>
            </w:r>
          </w:p>
        </w:tc>
        <w:tc>
          <w:tcPr>
            <w:tcW w:w="550" w:type="pct"/>
            <w:vAlign w:val="center"/>
          </w:tcPr>
          <w:p w14:paraId="46B4D24D" w14:textId="77777777" w:rsidR="00996565" w:rsidRPr="00CD68B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87.7%</w:t>
            </w:r>
          </w:p>
        </w:tc>
        <w:tc>
          <w:tcPr>
            <w:tcW w:w="600" w:type="pct"/>
            <w:vAlign w:val="center"/>
          </w:tcPr>
          <w:p w14:paraId="21F4AD24" w14:textId="77777777" w:rsidR="00996565"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80.0%</w:t>
            </w:r>
          </w:p>
        </w:tc>
      </w:tr>
      <w:tr w:rsidR="00996565" w14:paraId="58510957"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00F9DC2D" w14:textId="77777777" w:rsidR="00996565" w:rsidRPr="00CD68BE" w:rsidRDefault="00996565" w:rsidP="00996565">
            <w:pPr>
              <w:keepNext/>
              <w:spacing w:before="40" w:after="40" w:line="240" w:lineRule="atLeast"/>
              <w:ind w:left="593"/>
              <w:rPr>
                <w:rFonts w:cstheme="minorHAnsi"/>
                <w:sz w:val="18"/>
                <w:szCs w:val="18"/>
              </w:rPr>
            </w:pPr>
            <w:r w:rsidRPr="00CD68BE">
              <w:rPr>
                <w:rFonts w:cstheme="minorHAnsi"/>
                <w:sz w:val="18"/>
                <w:szCs w:val="18"/>
              </w:rPr>
              <w:t xml:space="preserve">Cost of </w:t>
            </w:r>
            <w:r>
              <w:rPr>
                <w:rFonts w:cstheme="minorHAnsi"/>
                <w:sz w:val="18"/>
                <w:szCs w:val="18"/>
              </w:rPr>
              <w:t xml:space="preserve">utilisation </w:t>
            </w:r>
            <w:r w:rsidRPr="00CD68BE">
              <w:rPr>
                <w:rFonts w:cstheme="minorHAnsi"/>
                <w:sz w:val="18"/>
                <w:szCs w:val="18"/>
              </w:rPr>
              <w:t>($)</w:t>
            </w:r>
          </w:p>
        </w:tc>
        <w:tc>
          <w:tcPr>
            <w:tcW w:w="551" w:type="pct"/>
            <w:noWrap/>
            <w:vAlign w:val="center"/>
          </w:tcPr>
          <w:p w14:paraId="0C804ED7"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$3.80</w:t>
            </w:r>
          </w:p>
        </w:tc>
        <w:tc>
          <w:tcPr>
            <w:tcW w:w="550" w:type="pct"/>
            <w:vAlign w:val="center"/>
          </w:tcPr>
          <w:p w14:paraId="315D5331"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$5.65</w:t>
            </w:r>
          </w:p>
        </w:tc>
        <w:tc>
          <w:tcPr>
            <w:tcW w:w="550" w:type="pct"/>
            <w:vAlign w:val="center"/>
          </w:tcPr>
          <w:p w14:paraId="644D4FE9"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$6.65</w:t>
            </w:r>
          </w:p>
        </w:tc>
        <w:tc>
          <w:tcPr>
            <w:tcW w:w="600" w:type="pct"/>
            <w:vAlign w:val="center"/>
          </w:tcPr>
          <w:p w14:paraId="04FF7C52" w14:textId="77777777" w:rsidR="00996565"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$14.16</w:t>
            </w:r>
          </w:p>
        </w:tc>
      </w:tr>
      <w:tr w:rsidR="00996565" w:rsidRPr="005C6DDE" w14:paraId="1EACF00B"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37E0273F" w14:textId="77777777" w:rsidR="00996565" w:rsidRPr="005C6DDE" w:rsidRDefault="00996565" w:rsidP="00996565">
            <w:pPr>
              <w:keepNext/>
              <w:spacing w:before="40" w:after="40" w:line="240" w:lineRule="atLeast"/>
              <w:rPr>
                <w:rFonts w:cstheme="minorHAnsi"/>
                <w:sz w:val="18"/>
                <w:szCs w:val="18"/>
              </w:rPr>
            </w:pPr>
            <w:r w:rsidRPr="005C6DDE">
              <w:rPr>
                <w:rFonts w:cstheme="minorHAnsi"/>
                <w:sz w:val="18"/>
                <w:szCs w:val="18"/>
              </w:rPr>
              <w:t xml:space="preserve">Cumulative cost per hour, after </w:t>
            </w:r>
            <w:r>
              <w:rPr>
                <w:rFonts w:cstheme="minorHAnsi"/>
                <w:sz w:val="18"/>
                <w:szCs w:val="18"/>
              </w:rPr>
              <w:t>utilisation</w:t>
            </w:r>
          </w:p>
        </w:tc>
        <w:tc>
          <w:tcPr>
            <w:tcW w:w="551" w:type="pct"/>
            <w:noWrap/>
            <w:vAlign w:val="center"/>
          </w:tcPr>
          <w:p w14:paraId="2D4E7128" w14:textId="77777777" w:rsidR="00996565" w:rsidRPr="006A50F1"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6A50F1">
              <w:rPr>
                <w:rFonts w:cstheme="minorHAnsi"/>
                <w:b/>
                <w:sz w:val="18"/>
                <w:szCs w:val="18"/>
              </w:rPr>
              <w:t>$</w:t>
            </w:r>
            <w:r>
              <w:rPr>
                <w:rFonts w:cstheme="minorHAnsi"/>
                <w:b/>
                <w:sz w:val="18"/>
                <w:szCs w:val="18"/>
              </w:rPr>
              <w:t>47.53</w:t>
            </w:r>
          </w:p>
        </w:tc>
        <w:tc>
          <w:tcPr>
            <w:tcW w:w="550" w:type="pct"/>
            <w:vAlign w:val="center"/>
          </w:tcPr>
          <w:p w14:paraId="3557DA22" w14:textId="77777777" w:rsidR="00996565" w:rsidRPr="006A50F1"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6A50F1">
              <w:rPr>
                <w:rFonts w:cstheme="minorHAnsi"/>
                <w:b/>
                <w:sz w:val="18"/>
                <w:szCs w:val="18"/>
              </w:rPr>
              <w:t>$</w:t>
            </w:r>
            <w:r>
              <w:rPr>
                <w:rFonts w:cstheme="minorHAnsi"/>
                <w:b/>
                <w:sz w:val="18"/>
                <w:szCs w:val="18"/>
              </w:rPr>
              <w:t>51.36</w:t>
            </w:r>
          </w:p>
        </w:tc>
        <w:tc>
          <w:tcPr>
            <w:tcW w:w="550" w:type="pct"/>
            <w:vAlign w:val="center"/>
          </w:tcPr>
          <w:p w14:paraId="06581296" w14:textId="77777777" w:rsidR="00996565" w:rsidRPr="006A50F1"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6A50F1">
              <w:rPr>
                <w:rFonts w:cstheme="minorHAnsi"/>
                <w:b/>
                <w:sz w:val="18"/>
                <w:szCs w:val="18"/>
              </w:rPr>
              <w:t>$</w:t>
            </w:r>
            <w:r>
              <w:rPr>
                <w:rFonts w:cstheme="minorHAnsi"/>
                <w:b/>
                <w:sz w:val="18"/>
                <w:szCs w:val="18"/>
              </w:rPr>
              <w:t>54.06</w:t>
            </w:r>
          </w:p>
        </w:tc>
        <w:tc>
          <w:tcPr>
            <w:tcW w:w="600" w:type="pct"/>
            <w:vAlign w:val="center"/>
          </w:tcPr>
          <w:p w14:paraId="7BCDBBDC" w14:textId="77777777" w:rsidR="00996565" w:rsidRPr="006A50F1"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6A50F1">
              <w:rPr>
                <w:rFonts w:cstheme="minorHAnsi"/>
                <w:b/>
                <w:sz w:val="18"/>
                <w:szCs w:val="18"/>
              </w:rPr>
              <w:t>$</w:t>
            </w:r>
            <w:r>
              <w:rPr>
                <w:rFonts w:cstheme="minorHAnsi"/>
                <w:b/>
                <w:sz w:val="18"/>
                <w:szCs w:val="18"/>
              </w:rPr>
              <w:t>70.81</w:t>
            </w:r>
          </w:p>
        </w:tc>
      </w:tr>
      <w:tr w:rsidR="00996565" w14:paraId="082A12F9"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6B81990E" w14:textId="77777777" w:rsidR="00996565" w:rsidRPr="005C6DDE" w:rsidRDefault="00996565" w:rsidP="00996565">
            <w:pPr>
              <w:keepNext/>
              <w:spacing w:before="40" w:after="40" w:line="240" w:lineRule="atLeast"/>
              <w:rPr>
                <w:rFonts w:cstheme="minorHAnsi"/>
                <w:b w:val="0"/>
                <w:sz w:val="18"/>
                <w:szCs w:val="18"/>
              </w:rPr>
            </w:pPr>
            <w:r w:rsidRPr="005C6DDE">
              <w:rPr>
                <w:rFonts w:cstheme="minorHAnsi"/>
                <w:b w:val="0"/>
                <w:sz w:val="18"/>
                <w:szCs w:val="18"/>
              </w:rPr>
              <w:t xml:space="preserve">Cumulative </w:t>
            </w:r>
            <w:r>
              <w:rPr>
                <w:rFonts w:cstheme="minorHAnsi"/>
                <w:b w:val="0"/>
                <w:sz w:val="18"/>
                <w:szCs w:val="18"/>
              </w:rPr>
              <w:t>i</w:t>
            </w:r>
            <w:r w:rsidRPr="001A1BE7">
              <w:rPr>
                <w:rFonts w:cstheme="minorHAnsi"/>
                <w:b w:val="0"/>
                <w:sz w:val="18"/>
                <w:szCs w:val="18"/>
              </w:rPr>
              <w:t xml:space="preserve">ncrease from </w:t>
            </w:r>
            <w:r>
              <w:rPr>
                <w:rFonts w:cstheme="minorHAnsi"/>
                <w:b w:val="0"/>
                <w:sz w:val="18"/>
                <w:szCs w:val="18"/>
              </w:rPr>
              <w:t>standard hourly rate</w:t>
            </w:r>
          </w:p>
        </w:tc>
        <w:tc>
          <w:tcPr>
            <w:tcW w:w="551" w:type="pct"/>
            <w:noWrap/>
            <w:vAlign w:val="center"/>
          </w:tcPr>
          <w:p w14:paraId="65D99DBA"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60.8%</w:t>
            </w:r>
          </w:p>
        </w:tc>
        <w:tc>
          <w:tcPr>
            <w:tcW w:w="550" w:type="pct"/>
            <w:vAlign w:val="center"/>
          </w:tcPr>
          <w:p w14:paraId="6884DB49"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67.4%</w:t>
            </w:r>
          </w:p>
        </w:tc>
        <w:tc>
          <w:tcPr>
            <w:tcW w:w="550" w:type="pct"/>
            <w:vAlign w:val="center"/>
          </w:tcPr>
          <w:p w14:paraId="4BDD5CE1" w14:textId="77777777" w:rsidR="00996565" w:rsidRPr="005C6DD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69.4%</w:t>
            </w:r>
          </w:p>
        </w:tc>
        <w:tc>
          <w:tcPr>
            <w:tcW w:w="600" w:type="pct"/>
            <w:vAlign w:val="center"/>
          </w:tcPr>
          <w:p w14:paraId="06410A05" w14:textId="77777777" w:rsidR="00996565"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84.7%</w:t>
            </w:r>
          </w:p>
        </w:tc>
      </w:tr>
    </w:tbl>
    <w:p w14:paraId="512693ED" w14:textId="77777777" w:rsidR="00B76D59" w:rsidRDefault="00840413" w:rsidP="00315545">
      <w:pPr>
        <w:pStyle w:val="Heading2"/>
      </w:pPr>
      <w:bookmarkStart w:id="34" w:name="_Toc46398743"/>
      <w:r>
        <w:t>Overheads</w:t>
      </w:r>
      <w:bookmarkEnd w:id="34"/>
    </w:p>
    <w:p w14:paraId="5005D126" w14:textId="77777777" w:rsidR="006A50F1" w:rsidRDefault="00D65E52" w:rsidP="008B748E">
      <w:r>
        <w:t xml:space="preserve">The </w:t>
      </w:r>
      <w:r w:rsidR="00E27A53">
        <w:t>Cost Model</w:t>
      </w:r>
      <w:r>
        <w:t xml:space="preserve"> assumes that </w:t>
      </w:r>
      <w:r w:rsidR="006A50F1">
        <w:t xml:space="preserve">corporate </w:t>
      </w:r>
      <w:r>
        <w:t>overheads are 1</w:t>
      </w:r>
      <w:r w:rsidR="00005261">
        <w:t>2.0</w:t>
      </w:r>
      <w:r w:rsidR="00E302D9">
        <w:t>% of direct costs (all those above)</w:t>
      </w:r>
      <w:r w:rsidR="006A50F1">
        <w:t>.</w:t>
      </w:r>
      <w:r w:rsidR="00334EDE">
        <w:rPr>
          <w:rStyle w:val="FootnoteReference"/>
        </w:rPr>
        <w:footnoteReference w:id="22"/>
      </w:r>
      <w:r w:rsidR="00334EDE">
        <w:t xml:space="preserve"> </w:t>
      </w:r>
    </w:p>
    <w:p w14:paraId="0A3587C8" w14:textId="4E050130" w:rsidR="000C7183" w:rsidRDefault="000C7183" w:rsidP="000457AF">
      <w:pPr>
        <w:pStyle w:val="Caption"/>
      </w:pPr>
      <w:bookmarkStart w:id="35" w:name="_Ref19045240"/>
      <w:r w:rsidRPr="00975FC4">
        <w:t xml:space="preserve">Table </w:t>
      </w:r>
      <w:r w:rsidR="003777EA">
        <w:fldChar w:fldCharType="begin"/>
      </w:r>
      <w:r w:rsidR="003777EA">
        <w:instrText xml:space="preserve"> SEQ Table \* ARABIC </w:instrText>
      </w:r>
      <w:r w:rsidR="003777EA">
        <w:fldChar w:fldCharType="separate"/>
      </w:r>
      <w:r w:rsidR="003777EA">
        <w:rPr>
          <w:noProof/>
        </w:rPr>
        <w:t>8</w:t>
      </w:r>
      <w:r w:rsidR="003777EA">
        <w:rPr>
          <w:noProof/>
        </w:rPr>
        <w:fldChar w:fldCharType="end"/>
      </w:r>
      <w:bookmarkEnd w:id="35"/>
      <w:r w:rsidRPr="00975FC4">
        <w:t xml:space="preserve">: </w:t>
      </w:r>
      <w:r>
        <w:t xml:space="preserve">Impact of </w:t>
      </w:r>
      <w:r w:rsidR="006A50F1">
        <w:t>O</w:t>
      </w:r>
      <w:r>
        <w:t xml:space="preserve">verheads </w:t>
      </w:r>
      <w:r w:rsidR="006A50F1">
        <w:t>on the Cost per Billable Hour of a DSW</w:t>
      </w:r>
    </w:p>
    <w:tbl>
      <w:tblPr>
        <w:tblStyle w:val="GridTable4-Accent4"/>
        <w:tblW w:w="5000" w:type="pct"/>
        <w:tblLook w:val="04A0" w:firstRow="1" w:lastRow="0" w:firstColumn="1" w:lastColumn="0" w:noHBand="0" w:noVBand="1"/>
        <w:tblDescription w:val="Table 8: Impact of Overheads on the Cost per Billable Hour of a DSW"/>
      </w:tblPr>
      <w:tblGrid>
        <w:gridCol w:w="4455"/>
        <w:gridCol w:w="1140"/>
        <w:gridCol w:w="1140"/>
        <w:gridCol w:w="1141"/>
        <w:gridCol w:w="1140"/>
      </w:tblGrid>
      <w:tr w:rsidR="00996565" w:rsidRPr="003A3C03" w14:paraId="652A7F8F" w14:textId="77777777" w:rsidTr="00996565">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471" w:type="pct"/>
            <w:hideMark/>
          </w:tcPr>
          <w:p w14:paraId="42A6C97D" w14:textId="77777777" w:rsidR="00996565" w:rsidRPr="001A1BE7" w:rsidRDefault="00996565" w:rsidP="00996565">
            <w:pPr>
              <w:keepNext/>
              <w:spacing w:before="40" w:after="40" w:line="240" w:lineRule="atLeast"/>
              <w:rPr>
                <w:rFonts w:cstheme="minorHAnsi"/>
                <w:sz w:val="18"/>
                <w:szCs w:val="18"/>
              </w:rPr>
            </w:pPr>
          </w:p>
        </w:tc>
        <w:tc>
          <w:tcPr>
            <w:tcW w:w="632" w:type="pct"/>
            <w:hideMark/>
          </w:tcPr>
          <w:p w14:paraId="138CA557" w14:textId="77777777" w:rsidR="00996565" w:rsidRPr="001A1BE7" w:rsidRDefault="00996565" w:rsidP="00996565">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1</w:t>
            </w:r>
          </w:p>
        </w:tc>
        <w:tc>
          <w:tcPr>
            <w:tcW w:w="632" w:type="pct"/>
          </w:tcPr>
          <w:p w14:paraId="15AFC7C9" w14:textId="77777777" w:rsidR="00996565" w:rsidRPr="001A1BE7" w:rsidRDefault="00996565" w:rsidP="00996565">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Pr>
                <w:rFonts w:cstheme="minorHAnsi"/>
                <w:sz w:val="18"/>
                <w:szCs w:val="18"/>
              </w:rPr>
              <w:t>DSW 2</w:t>
            </w:r>
          </w:p>
        </w:tc>
        <w:tc>
          <w:tcPr>
            <w:tcW w:w="633" w:type="pct"/>
          </w:tcPr>
          <w:p w14:paraId="139020F2" w14:textId="77777777" w:rsidR="00996565" w:rsidRPr="001A1BE7" w:rsidRDefault="00996565" w:rsidP="00996565">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3</w:t>
            </w:r>
          </w:p>
        </w:tc>
        <w:tc>
          <w:tcPr>
            <w:tcW w:w="632" w:type="pct"/>
          </w:tcPr>
          <w:p w14:paraId="1B4C9CDD" w14:textId="77777777" w:rsidR="00996565" w:rsidRDefault="00996565" w:rsidP="00996565">
            <w:pPr>
              <w:keepNext/>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4</w:t>
            </w:r>
          </w:p>
        </w:tc>
      </w:tr>
      <w:tr w:rsidR="00996565" w14:paraId="5768C3FF"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1" w:type="pct"/>
            <w:hideMark/>
          </w:tcPr>
          <w:p w14:paraId="2A6C7069" w14:textId="77777777" w:rsidR="00996565" w:rsidRPr="001A1BE7" w:rsidRDefault="00996565" w:rsidP="00996565">
            <w:pPr>
              <w:keepNext/>
              <w:spacing w:before="40" w:after="40" w:line="240" w:lineRule="atLeast"/>
              <w:rPr>
                <w:rFonts w:cstheme="minorHAnsi"/>
                <w:sz w:val="18"/>
                <w:szCs w:val="18"/>
              </w:rPr>
            </w:pPr>
            <w:r>
              <w:rPr>
                <w:rFonts w:cstheme="minorHAnsi"/>
                <w:sz w:val="18"/>
                <w:szCs w:val="18"/>
              </w:rPr>
              <w:t>Cumulative cost per hour, before overheads</w:t>
            </w:r>
          </w:p>
        </w:tc>
        <w:tc>
          <w:tcPr>
            <w:tcW w:w="632" w:type="pct"/>
            <w:noWrap/>
            <w:vAlign w:val="center"/>
            <w:hideMark/>
          </w:tcPr>
          <w:p w14:paraId="1D212F5C" w14:textId="77777777" w:rsidR="00996565" w:rsidRPr="00384F8D"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6A50F1">
              <w:rPr>
                <w:rFonts w:cstheme="minorHAnsi"/>
                <w:b/>
                <w:sz w:val="18"/>
                <w:szCs w:val="18"/>
              </w:rPr>
              <w:t>$</w:t>
            </w:r>
            <w:r>
              <w:rPr>
                <w:rFonts w:cstheme="minorHAnsi"/>
                <w:b/>
                <w:sz w:val="18"/>
                <w:szCs w:val="18"/>
              </w:rPr>
              <w:t>47.53</w:t>
            </w:r>
          </w:p>
        </w:tc>
        <w:tc>
          <w:tcPr>
            <w:tcW w:w="632" w:type="pct"/>
            <w:vAlign w:val="center"/>
          </w:tcPr>
          <w:p w14:paraId="1D228D47" w14:textId="77777777" w:rsidR="00996565" w:rsidRPr="00384F8D"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6A50F1">
              <w:rPr>
                <w:rFonts w:cstheme="minorHAnsi"/>
                <w:b/>
                <w:sz w:val="18"/>
                <w:szCs w:val="18"/>
              </w:rPr>
              <w:t>$</w:t>
            </w:r>
            <w:r>
              <w:rPr>
                <w:rFonts w:cstheme="minorHAnsi"/>
                <w:b/>
                <w:sz w:val="18"/>
                <w:szCs w:val="18"/>
              </w:rPr>
              <w:t>51.36</w:t>
            </w:r>
          </w:p>
        </w:tc>
        <w:tc>
          <w:tcPr>
            <w:tcW w:w="633" w:type="pct"/>
            <w:vAlign w:val="center"/>
          </w:tcPr>
          <w:p w14:paraId="5192A0C1" w14:textId="77777777" w:rsidR="00996565" w:rsidRPr="00384F8D"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6A50F1">
              <w:rPr>
                <w:rFonts w:cstheme="minorHAnsi"/>
                <w:b/>
                <w:sz w:val="18"/>
                <w:szCs w:val="18"/>
              </w:rPr>
              <w:t>$</w:t>
            </w:r>
            <w:r>
              <w:rPr>
                <w:rFonts w:cstheme="minorHAnsi"/>
                <w:b/>
                <w:sz w:val="18"/>
                <w:szCs w:val="18"/>
              </w:rPr>
              <w:t>54.06</w:t>
            </w:r>
          </w:p>
        </w:tc>
        <w:tc>
          <w:tcPr>
            <w:tcW w:w="632" w:type="pct"/>
            <w:vAlign w:val="center"/>
          </w:tcPr>
          <w:p w14:paraId="012DDC4A" w14:textId="77777777" w:rsidR="00996565" w:rsidRPr="006A50F1"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$70.81</w:t>
            </w:r>
          </w:p>
        </w:tc>
      </w:tr>
      <w:tr w:rsidR="00996565" w:rsidRPr="00CD68BE" w14:paraId="4DE4EACC"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471" w:type="pct"/>
            <w:hideMark/>
          </w:tcPr>
          <w:p w14:paraId="6933E18E" w14:textId="77777777" w:rsidR="00996565" w:rsidRPr="00CD68BE" w:rsidRDefault="00996565" w:rsidP="00996565">
            <w:pPr>
              <w:keepNext/>
              <w:spacing w:before="40" w:after="40" w:line="240" w:lineRule="atLeast"/>
              <w:rPr>
                <w:rFonts w:cstheme="minorHAnsi"/>
                <w:sz w:val="18"/>
                <w:szCs w:val="18"/>
              </w:rPr>
            </w:pPr>
            <w:r>
              <w:rPr>
                <w:rFonts w:cstheme="minorHAnsi"/>
                <w:sz w:val="18"/>
                <w:szCs w:val="18"/>
              </w:rPr>
              <w:t>Overhead</w:t>
            </w:r>
          </w:p>
        </w:tc>
        <w:tc>
          <w:tcPr>
            <w:tcW w:w="632" w:type="pct"/>
            <w:noWrap/>
          </w:tcPr>
          <w:p w14:paraId="0660FAAD" w14:textId="77777777" w:rsidR="00996565" w:rsidRPr="00CD68B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32" w:type="pct"/>
          </w:tcPr>
          <w:p w14:paraId="517D7C83" w14:textId="77777777" w:rsidR="00996565" w:rsidRPr="00384F8D"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33" w:type="pct"/>
          </w:tcPr>
          <w:p w14:paraId="561E9A3C" w14:textId="77777777" w:rsidR="00996565" w:rsidRPr="00CD68B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32" w:type="pct"/>
          </w:tcPr>
          <w:p w14:paraId="6F0FD82B" w14:textId="77777777" w:rsidR="00996565" w:rsidRPr="00CD68B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996565" w:rsidRPr="00CD68BE" w14:paraId="23D60FDC"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14:paraId="621073A4" w14:textId="77777777" w:rsidR="00996565" w:rsidRPr="00CD68BE" w:rsidRDefault="00996565" w:rsidP="00996565">
            <w:pPr>
              <w:keepNext/>
              <w:spacing w:before="40" w:after="40" w:line="240" w:lineRule="atLeast"/>
              <w:ind w:left="593"/>
              <w:rPr>
                <w:rFonts w:cstheme="minorHAnsi"/>
                <w:sz w:val="18"/>
                <w:szCs w:val="18"/>
              </w:rPr>
            </w:pPr>
            <w:r>
              <w:rPr>
                <w:rFonts w:cstheme="minorHAnsi"/>
                <w:sz w:val="18"/>
                <w:szCs w:val="18"/>
              </w:rPr>
              <w:t>Overheads as a share of direct costs (%)</w:t>
            </w:r>
          </w:p>
        </w:tc>
        <w:tc>
          <w:tcPr>
            <w:tcW w:w="632" w:type="pct"/>
            <w:noWrap/>
            <w:vAlign w:val="center"/>
          </w:tcPr>
          <w:p w14:paraId="2C314B1F" w14:textId="77777777" w:rsidR="00996565" w:rsidRPr="00CD68B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12.0%</w:t>
            </w:r>
          </w:p>
        </w:tc>
        <w:tc>
          <w:tcPr>
            <w:tcW w:w="632" w:type="pct"/>
            <w:vAlign w:val="center"/>
          </w:tcPr>
          <w:p w14:paraId="7A1BB75B" w14:textId="77777777" w:rsidR="00996565" w:rsidRPr="00CD68B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12.0%</w:t>
            </w:r>
          </w:p>
        </w:tc>
        <w:tc>
          <w:tcPr>
            <w:tcW w:w="633" w:type="pct"/>
            <w:vAlign w:val="center"/>
          </w:tcPr>
          <w:p w14:paraId="145608C2" w14:textId="77777777" w:rsidR="00996565" w:rsidRPr="00CD68BE"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12.0%</w:t>
            </w:r>
          </w:p>
        </w:tc>
        <w:tc>
          <w:tcPr>
            <w:tcW w:w="632" w:type="pct"/>
            <w:vAlign w:val="center"/>
          </w:tcPr>
          <w:p w14:paraId="439AC721" w14:textId="77777777" w:rsidR="00996565"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12.0%</w:t>
            </w:r>
          </w:p>
        </w:tc>
      </w:tr>
      <w:tr w:rsidR="00996565" w14:paraId="33E1B496"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14:paraId="662B40B6" w14:textId="77777777" w:rsidR="00996565" w:rsidRPr="00CD68BE" w:rsidRDefault="00996565" w:rsidP="00996565">
            <w:pPr>
              <w:keepNext/>
              <w:spacing w:before="40" w:after="40" w:line="240" w:lineRule="atLeast"/>
              <w:ind w:left="593"/>
              <w:rPr>
                <w:rFonts w:cstheme="minorHAnsi"/>
                <w:sz w:val="18"/>
                <w:szCs w:val="18"/>
              </w:rPr>
            </w:pPr>
            <w:r w:rsidRPr="00CD68BE">
              <w:rPr>
                <w:rFonts w:cstheme="minorHAnsi"/>
                <w:sz w:val="18"/>
                <w:szCs w:val="18"/>
              </w:rPr>
              <w:t xml:space="preserve">Cost of </w:t>
            </w:r>
            <w:r>
              <w:rPr>
                <w:rFonts w:cstheme="minorHAnsi"/>
                <w:sz w:val="18"/>
                <w:szCs w:val="18"/>
              </w:rPr>
              <w:t xml:space="preserve">overheads </w:t>
            </w:r>
            <w:r w:rsidRPr="00CD68BE">
              <w:rPr>
                <w:rFonts w:cstheme="minorHAnsi"/>
                <w:sz w:val="18"/>
                <w:szCs w:val="18"/>
              </w:rPr>
              <w:t>($)</w:t>
            </w:r>
          </w:p>
        </w:tc>
        <w:tc>
          <w:tcPr>
            <w:tcW w:w="632" w:type="pct"/>
            <w:noWrap/>
            <w:vAlign w:val="center"/>
          </w:tcPr>
          <w:p w14:paraId="245E857F" w14:textId="77777777" w:rsidR="00996565" w:rsidRPr="005C6DD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$5.70</w:t>
            </w:r>
          </w:p>
        </w:tc>
        <w:tc>
          <w:tcPr>
            <w:tcW w:w="632" w:type="pct"/>
            <w:vAlign w:val="center"/>
          </w:tcPr>
          <w:p w14:paraId="59342AE2" w14:textId="77777777" w:rsidR="00996565" w:rsidRPr="005C6DD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$6.16</w:t>
            </w:r>
          </w:p>
        </w:tc>
        <w:tc>
          <w:tcPr>
            <w:tcW w:w="633" w:type="pct"/>
            <w:vAlign w:val="center"/>
          </w:tcPr>
          <w:p w14:paraId="415E0076" w14:textId="77777777" w:rsidR="00996565" w:rsidRPr="005C6DDE"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$6.49</w:t>
            </w:r>
          </w:p>
        </w:tc>
        <w:tc>
          <w:tcPr>
            <w:tcW w:w="632" w:type="pct"/>
            <w:vAlign w:val="center"/>
          </w:tcPr>
          <w:p w14:paraId="4E4478F9" w14:textId="77777777" w:rsidR="00996565" w:rsidRDefault="00996565" w:rsidP="00996565">
            <w:pPr>
              <w:keepNext/>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$8.50</w:t>
            </w:r>
          </w:p>
        </w:tc>
      </w:tr>
      <w:tr w:rsidR="00996565" w:rsidRPr="006A50F1" w14:paraId="36FC05CF"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14:paraId="74D9A6F2" w14:textId="77777777" w:rsidR="00996565" w:rsidRPr="006A50F1" w:rsidRDefault="00996565" w:rsidP="00996565">
            <w:pPr>
              <w:keepNext/>
              <w:spacing w:before="40" w:after="40" w:line="240" w:lineRule="atLeast"/>
              <w:rPr>
                <w:rFonts w:cstheme="minorHAnsi"/>
                <w:sz w:val="18"/>
                <w:szCs w:val="18"/>
              </w:rPr>
            </w:pPr>
            <w:r w:rsidRPr="006A50F1">
              <w:rPr>
                <w:rFonts w:cstheme="minorHAnsi"/>
                <w:sz w:val="18"/>
                <w:szCs w:val="18"/>
              </w:rPr>
              <w:t>Cumulative cost per hour, after overheads</w:t>
            </w:r>
          </w:p>
        </w:tc>
        <w:tc>
          <w:tcPr>
            <w:tcW w:w="632" w:type="pct"/>
            <w:noWrap/>
            <w:vAlign w:val="center"/>
          </w:tcPr>
          <w:p w14:paraId="5CE6848E" w14:textId="77777777" w:rsidR="00996565" w:rsidRPr="006A50F1"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6A50F1">
              <w:rPr>
                <w:rFonts w:cstheme="minorHAnsi"/>
                <w:b/>
                <w:sz w:val="18"/>
                <w:szCs w:val="18"/>
              </w:rPr>
              <w:t>$</w:t>
            </w:r>
            <w:r>
              <w:rPr>
                <w:rFonts w:cstheme="minorHAnsi"/>
                <w:b/>
                <w:sz w:val="18"/>
                <w:szCs w:val="18"/>
              </w:rPr>
              <w:t>53.23</w:t>
            </w:r>
          </w:p>
        </w:tc>
        <w:tc>
          <w:tcPr>
            <w:tcW w:w="632" w:type="pct"/>
            <w:vAlign w:val="center"/>
          </w:tcPr>
          <w:p w14:paraId="12781222" w14:textId="77777777" w:rsidR="00996565" w:rsidRPr="006A50F1"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$57.52</w:t>
            </w:r>
          </w:p>
        </w:tc>
        <w:tc>
          <w:tcPr>
            <w:tcW w:w="633" w:type="pct"/>
            <w:vAlign w:val="center"/>
          </w:tcPr>
          <w:p w14:paraId="235C4DF6" w14:textId="77777777" w:rsidR="00996565" w:rsidRPr="006A50F1"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6A50F1">
              <w:rPr>
                <w:rFonts w:cstheme="minorHAnsi"/>
                <w:b/>
                <w:sz w:val="18"/>
                <w:szCs w:val="18"/>
              </w:rPr>
              <w:t>$</w:t>
            </w:r>
            <w:r>
              <w:rPr>
                <w:rFonts w:cstheme="minorHAnsi"/>
                <w:b/>
                <w:sz w:val="18"/>
                <w:szCs w:val="18"/>
              </w:rPr>
              <w:t>60.55</w:t>
            </w:r>
          </w:p>
        </w:tc>
        <w:tc>
          <w:tcPr>
            <w:tcW w:w="632" w:type="pct"/>
            <w:vAlign w:val="center"/>
          </w:tcPr>
          <w:p w14:paraId="2727A545" w14:textId="77777777" w:rsidR="00996565" w:rsidRPr="006A50F1" w:rsidRDefault="00996565" w:rsidP="00996565">
            <w:pPr>
              <w:keepNext/>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$79.31</w:t>
            </w:r>
          </w:p>
        </w:tc>
      </w:tr>
      <w:tr w:rsidR="00996565" w14:paraId="0D006848"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471" w:type="pct"/>
            <w:vAlign w:val="center"/>
          </w:tcPr>
          <w:p w14:paraId="7D77A372" w14:textId="77777777" w:rsidR="00996565" w:rsidRPr="005C6DDE" w:rsidRDefault="00996565" w:rsidP="00996565">
            <w:pPr>
              <w:spacing w:before="40" w:after="40" w:line="240" w:lineRule="atLeast"/>
              <w:rPr>
                <w:rFonts w:cstheme="minorHAnsi"/>
                <w:b w:val="0"/>
                <w:sz w:val="18"/>
                <w:szCs w:val="18"/>
              </w:rPr>
            </w:pPr>
            <w:r w:rsidRPr="005C6DDE">
              <w:rPr>
                <w:rFonts w:cstheme="minorHAnsi"/>
                <w:b w:val="0"/>
                <w:sz w:val="18"/>
                <w:szCs w:val="18"/>
              </w:rPr>
              <w:t xml:space="preserve">Cumulative </w:t>
            </w:r>
            <w:r>
              <w:rPr>
                <w:rFonts w:cstheme="minorHAnsi"/>
                <w:b w:val="0"/>
                <w:sz w:val="18"/>
                <w:szCs w:val="18"/>
              </w:rPr>
              <w:t>i</w:t>
            </w:r>
            <w:r w:rsidRPr="001A1BE7">
              <w:rPr>
                <w:rFonts w:cstheme="minorHAnsi"/>
                <w:b w:val="0"/>
                <w:sz w:val="18"/>
                <w:szCs w:val="18"/>
              </w:rPr>
              <w:t xml:space="preserve">ncrease from </w:t>
            </w:r>
            <w:r>
              <w:rPr>
                <w:rFonts w:cstheme="minorHAnsi"/>
                <w:b w:val="0"/>
                <w:sz w:val="18"/>
                <w:szCs w:val="18"/>
              </w:rPr>
              <w:t>standard hourly rate</w:t>
            </w:r>
          </w:p>
        </w:tc>
        <w:tc>
          <w:tcPr>
            <w:tcW w:w="632" w:type="pct"/>
            <w:noWrap/>
            <w:vAlign w:val="center"/>
          </w:tcPr>
          <w:p w14:paraId="71C65707" w14:textId="77777777" w:rsidR="00996565" w:rsidRPr="005C6DDE"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80.1%</w:t>
            </w:r>
          </w:p>
        </w:tc>
        <w:tc>
          <w:tcPr>
            <w:tcW w:w="632" w:type="pct"/>
            <w:vAlign w:val="center"/>
          </w:tcPr>
          <w:p w14:paraId="6105A93E" w14:textId="77777777" w:rsidR="00996565" w:rsidRPr="005C6DDE"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87.4%</w:t>
            </w:r>
          </w:p>
        </w:tc>
        <w:tc>
          <w:tcPr>
            <w:tcW w:w="633" w:type="pct"/>
            <w:vAlign w:val="center"/>
          </w:tcPr>
          <w:p w14:paraId="313A998C" w14:textId="77777777" w:rsidR="00996565" w:rsidRPr="005C6DDE"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89.7%</w:t>
            </w:r>
          </w:p>
        </w:tc>
        <w:tc>
          <w:tcPr>
            <w:tcW w:w="632" w:type="pct"/>
            <w:vAlign w:val="center"/>
          </w:tcPr>
          <w:p w14:paraId="30216A86" w14:textId="77777777" w:rsidR="00996565"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106.9%</w:t>
            </w:r>
          </w:p>
        </w:tc>
      </w:tr>
    </w:tbl>
    <w:p w14:paraId="63AD3E36" w14:textId="77777777" w:rsidR="00840413" w:rsidRDefault="00BA539B" w:rsidP="00315545">
      <w:pPr>
        <w:pStyle w:val="Heading2"/>
      </w:pPr>
      <w:bookmarkStart w:id="36" w:name="_Toc46398744"/>
      <w:r>
        <w:t>Margin</w:t>
      </w:r>
      <w:r w:rsidR="00211A14">
        <w:t>s</w:t>
      </w:r>
      <w:bookmarkEnd w:id="36"/>
    </w:p>
    <w:p w14:paraId="08389655" w14:textId="77777777" w:rsidR="00496D32" w:rsidRDefault="00373C5D" w:rsidP="00B227D9">
      <w:r>
        <w:t xml:space="preserve">The </w:t>
      </w:r>
      <w:r w:rsidR="00E27A53">
        <w:t>Cost Model</w:t>
      </w:r>
      <w:r>
        <w:t xml:space="preserve"> assumes a 2% </w:t>
      </w:r>
      <w:r w:rsidR="00E41E33">
        <w:t xml:space="preserve">margin on other costs. This equates to </w:t>
      </w:r>
      <w:r>
        <w:t xml:space="preserve">a rate of return of 8% against </w:t>
      </w:r>
      <w:r w:rsidR="00E41E33">
        <w:t>working capital</w:t>
      </w:r>
      <w:r w:rsidR="00523D6C">
        <w:t>,</w:t>
      </w:r>
      <w:r w:rsidR="00E41E33">
        <w:t xml:space="preserve"> equivalent to three month’s</w:t>
      </w:r>
      <w:r>
        <w:t xml:space="preserve"> wages</w:t>
      </w:r>
      <w:r w:rsidR="00E41E33">
        <w:t xml:space="preserve"> and entitlements</w:t>
      </w:r>
      <w:r>
        <w:t>.</w:t>
      </w:r>
      <w:r w:rsidR="009C5501">
        <w:t xml:space="preserve"> </w:t>
      </w:r>
    </w:p>
    <w:p w14:paraId="7DEBDFE4" w14:textId="037451BD" w:rsidR="00B658AF" w:rsidRDefault="000C7183" w:rsidP="00B658AF">
      <w:pPr>
        <w:pStyle w:val="Caption"/>
      </w:pPr>
      <w:bookmarkStart w:id="37" w:name="_Ref19047348"/>
      <w:r w:rsidRPr="00975FC4">
        <w:t xml:space="preserve">Table </w:t>
      </w:r>
      <w:r w:rsidR="003777EA">
        <w:fldChar w:fldCharType="begin"/>
      </w:r>
      <w:r w:rsidR="003777EA">
        <w:instrText xml:space="preserve"> SEQ Table \* ARABIC </w:instrText>
      </w:r>
      <w:r w:rsidR="003777EA">
        <w:fldChar w:fldCharType="separate"/>
      </w:r>
      <w:r w:rsidR="003777EA">
        <w:rPr>
          <w:noProof/>
        </w:rPr>
        <w:t>9</w:t>
      </w:r>
      <w:r w:rsidR="003777EA">
        <w:rPr>
          <w:noProof/>
        </w:rPr>
        <w:fldChar w:fldCharType="end"/>
      </w:r>
      <w:bookmarkEnd w:id="37"/>
      <w:r w:rsidRPr="00975FC4">
        <w:t xml:space="preserve">: </w:t>
      </w:r>
      <w:r w:rsidR="00B658AF">
        <w:t>Impact of M</w:t>
      </w:r>
      <w:r>
        <w:t xml:space="preserve">argins </w:t>
      </w:r>
      <w:r w:rsidR="00B658AF">
        <w:t>on the Cost per Billable Hour of a DSW</w:t>
      </w:r>
    </w:p>
    <w:tbl>
      <w:tblPr>
        <w:tblStyle w:val="GridTable4-Accent4"/>
        <w:tblW w:w="5000" w:type="pct"/>
        <w:tblLook w:val="04A0" w:firstRow="1" w:lastRow="0" w:firstColumn="1" w:lastColumn="0" w:noHBand="0" w:noVBand="1"/>
        <w:tblDescription w:val="Table 9: Impact of Margins on the Cost per Billable Hour of a DSW"/>
      </w:tblPr>
      <w:tblGrid>
        <w:gridCol w:w="4956"/>
        <w:gridCol w:w="994"/>
        <w:gridCol w:w="992"/>
        <w:gridCol w:w="992"/>
        <w:gridCol w:w="1082"/>
      </w:tblGrid>
      <w:tr w:rsidR="00996565" w:rsidRPr="003A3C03" w14:paraId="3ECA38B1" w14:textId="77777777" w:rsidTr="00996565">
        <w:trPr>
          <w:cnfStyle w:val="100000000000" w:firstRow="1" w:lastRow="0" w:firstColumn="0" w:lastColumn="0" w:oddVBand="0" w:evenVBand="0" w:oddHBand="0" w:evenHBand="0" w:firstRowFirstColumn="0" w:firstRowLastColumn="0" w:lastRowFirstColumn="0" w:lastRowLastColumn="0"/>
          <w:trHeight w:val="289"/>
          <w:tblHeader/>
        </w:trPr>
        <w:tc>
          <w:tcPr>
            <w:cnfStyle w:val="001000000000" w:firstRow="0" w:lastRow="0" w:firstColumn="1" w:lastColumn="0" w:oddVBand="0" w:evenVBand="0" w:oddHBand="0" w:evenHBand="0" w:firstRowFirstColumn="0" w:firstRowLastColumn="0" w:lastRowFirstColumn="0" w:lastRowLastColumn="0"/>
            <w:tcW w:w="2748" w:type="pct"/>
            <w:hideMark/>
          </w:tcPr>
          <w:p w14:paraId="5CF923B0" w14:textId="77777777" w:rsidR="00996565" w:rsidRPr="001A1BE7" w:rsidRDefault="00996565" w:rsidP="00996565">
            <w:pPr>
              <w:spacing w:before="40" w:after="40" w:line="240" w:lineRule="atLeast"/>
              <w:rPr>
                <w:rFonts w:cstheme="minorHAnsi"/>
                <w:sz w:val="18"/>
                <w:szCs w:val="18"/>
              </w:rPr>
            </w:pPr>
          </w:p>
        </w:tc>
        <w:tc>
          <w:tcPr>
            <w:tcW w:w="551" w:type="pct"/>
            <w:hideMark/>
          </w:tcPr>
          <w:p w14:paraId="5CDB0C80" w14:textId="77777777" w:rsidR="00996565" w:rsidRPr="001A1BE7" w:rsidRDefault="00996565" w:rsidP="00996565">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1</w:t>
            </w:r>
          </w:p>
        </w:tc>
        <w:tc>
          <w:tcPr>
            <w:tcW w:w="550" w:type="pct"/>
          </w:tcPr>
          <w:p w14:paraId="5A7B641D" w14:textId="77777777" w:rsidR="00996565" w:rsidRPr="001A1BE7" w:rsidRDefault="00996565" w:rsidP="00996565">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AU"/>
              </w:rPr>
            </w:pPr>
            <w:r>
              <w:rPr>
                <w:rFonts w:cstheme="minorHAnsi"/>
                <w:sz w:val="18"/>
                <w:szCs w:val="18"/>
              </w:rPr>
              <w:t>DSW 2</w:t>
            </w:r>
          </w:p>
        </w:tc>
        <w:tc>
          <w:tcPr>
            <w:tcW w:w="550" w:type="pct"/>
          </w:tcPr>
          <w:p w14:paraId="4ABC8FAA" w14:textId="77777777" w:rsidR="00996565" w:rsidRPr="001A1BE7" w:rsidRDefault="00996565" w:rsidP="00996565">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3</w:t>
            </w:r>
          </w:p>
        </w:tc>
        <w:tc>
          <w:tcPr>
            <w:tcW w:w="600" w:type="pct"/>
          </w:tcPr>
          <w:p w14:paraId="3EE05283" w14:textId="77777777" w:rsidR="00996565" w:rsidRDefault="00996565" w:rsidP="00996565">
            <w:pPr>
              <w:spacing w:before="40" w:after="40" w:line="240" w:lineRule="atLeast"/>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DSW 4</w:t>
            </w:r>
          </w:p>
        </w:tc>
      </w:tr>
      <w:tr w:rsidR="00996565" w14:paraId="27A7E5EF"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14:paraId="6EEDB49E" w14:textId="77777777" w:rsidR="00996565" w:rsidRPr="001A1BE7" w:rsidRDefault="00996565" w:rsidP="00996565">
            <w:pPr>
              <w:spacing w:before="40" w:after="40" w:line="240" w:lineRule="atLeast"/>
              <w:rPr>
                <w:rFonts w:cstheme="minorHAnsi"/>
                <w:sz w:val="18"/>
                <w:szCs w:val="18"/>
              </w:rPr>
            </w:pPr>
            <w:r>
              <w:rPr>
                <w:rFonts w:cstheme="minorHAnsi"/>
                <w:sz w:val="18"/>
                <w:szCs w:val="18"/>
              </w:rPr>
              <w:t>Cumulative cost per hour, before margin</w:t>
            </w:r>
          </w:p>
        </w:tc>
        <w:tc>
          <w:tcPr>
            <w:tcW w:w="551" w:type="pct"/>
            <w:noWrap/>
            <w:vAlign w:val="center"/>
            <w:hideMark/>
          </w:tcPr>
          <w:p w14:paraId="3036F4D4" w14:textId="77777777" w:rsidR="00996565" w:rsidRPr="00384F8D"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6A50F1">
              <w:rPr>
                <w:rFonts w:cstheme="minorHAnsi"/>
                <w:b/>
                <w:sz w:val="18"/>
                <w:szCs w:val="18"/>
              </w:rPr>
              <w:t>$</w:t>
            </w:r>
            <w:r>
              <w:rPr>
                <w:rFonts w:cstheme="minorHAnsi"/>
                <w:b/>
                <w:sz w:val="18"/>
                <w:szCs w:val="18"/>
              </w:rPr>
              <w:t>53.23</w:t>
            </w:r>
          </w:p>
        </w:tc>
        <w:tc>
          <w:tcPr>
            <w:tcW w:w="550" w:type="pct"/>
            <w:vAlign w:val="center"/>
          </w:tcPr>
          <w:p w14:paraId="475B445A" w14:textId="77777777" w:rsidR="00996565" w:rsidRPr="00384F8D"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$57.52</w:t>
            </w:r>
          </w:p>
        </w:tc>
        <w:tc>
          <w:tcPr>
            <w:tcW w:w="550" w:type="pct"/>
            <w:vAlign w:val="center"/>
          </w:tcPr>
          <w:p w14:paraId="135A1AA6" w14:textId="77777777" w:rsidR="00996565" w:rsidRPr="00384F8D"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6A50F1">
              <w:rPr>
                <w:rFonts w:cstheme="minorHAnsi"/>
                <w:b/>
                <w:sz w:val="18"/>
                <w:szCs w:val="18"/>
              </w:rPr>
              <w:t>$</w:t>
            </w:r>
            <w:r>
              <w:rPr>
                <w:rFonts w:cstheme="minorHAnsi"/>
                <w:b/>
                <w:sz w:val="18"/>
                <w:szCs w:val="18"/>
              </w:rPr>
              <w:t>60.55</w:t>
            </w:r>
          </w:p>
        </w:tc>
        <w:tc>
          <w:tcPr>
            <w:tcW w:w="600" w:type="pct"/>
            <w:vAlign w:val="center"/>
          </w:tcPr>
          <w:p w14:paraId="02BCFFA4" w14:textId="77777777" w:rsidR="00996565" w:rsidRPr="006A50F1"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$79.31</w:t>
            </w:r>
          </w:p>
        </w:tc>
      </w:tr>
      <w:tr w:rsidR="00996565" w:rsidRPr="00CD68BE" w14:paraId="3F6391AD"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hideMark/>
          </w:tcPr>
          <w:p w14:paraId="6F2CD3DF" w14:textId="77777777" w:rsidR="00996565" w:rsidRPr="00CD68BE" w:rsidRDefault="00996565" w:rsidP="00996565">
            <w:pPr>
              <w:spacing w:before="40" w:after="40" w:line="240" w:lineRule="atLeast"/>
              <w:rPr>
                <w:rFonts w:cstheme="minorHAnsi"/>
                <w:sz w:val="18"/>
                <w:szCs w:val="18"/>
              </w:rPr>
            </w:pPr>
            <w:r>
              <w:rPr>
                <w:rFonts w:cstheme="minorHAnsi"/>
                <w:sz w:val="18"/>
                <w:szCs w:val="18"/>
              </w:rPr>
              <w:t>Margin</w:t>
            </w:r>
          </w:p>
        </w:tc>
        <w:tc>
          <w:tcPr>
            <w:tcW w:w="551" w:type="pct"/>
            <w:noWrap/>
          </w:tcPr>
          <w:p w14:paraId="25C8FEE2" w14:textId="77777777" w:rsidR="00996565" w:rsidRPr="00CD68BE"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tcPr>
          <w:p w14:paraId="2AE6FB18" w14:textId="77777777" w:rsidR="00996565" w:rsidRPr="00384F8D"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50" w:type="pct"/>
          </w:tcPr>
          <w:p w14:paraId="7A3B9D22" w14:textId="77777777" w:rsidR="00996565" w:rsidRPr="00CD68BE"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00" w:type="pct"/>
          </w:tcPr>
          <w:p w14:paraId="5C082440" w14:textId="77777777" w:rsidR="00996565" w:rsidRPr="00CD68BE"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996565" w:rsidRPr="00CD68BE" w14:paraId="773ED170"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69D87F4C" w14:textId="77777777" w:rsidR="00996565" w:rsidRPr="004E6680" w:rsidRDefault="00996565" w:rsidP="00996565">
            <w:pPr>
              <w:spacing w:before="40" w:after="40" w:line="240" w:lineRule="atLeast"/>
              <w:ind w:left="593"/>
              <w:rPr>
                <w:rFonts w:cstheme="minorHAnsi"/>
                <w:b w:val="0"/>
                <w:sz w:val="18"/>
                <w:szCs w:val="18"/>
              </w:rPr>
            </w:pPr>
            <w:r w:rsidRPr="004E6680">
              <w:rPr>
                <w:rFonts w:cstheme="minorHAnsi"/>
                <w:b w:val="0"/>
                <w:sz w:val="18"/>
                <w:szCs w:val="18"/>
              </w:rPr>
              <w:t>Margin as a share of other costs (%)</w:t>
            </w:r>
          </w:p>
        </w:tc>
        <w:tc>
          <w:tcPr>
            <w:tcW w:w="551" w:type="pct"/>
            <w:noWrap/>
            <w:vAlign w:val="center"/>
          </w:tcPr>
          <w:p w14:paraId="31988491" w14:textId="77777777" w:rsidR="00996565" w:rsidRPr="00CD68BE"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w:t>
            </w:r>
          </w:p>
        </w:tc>
        <w:tc>
          <w:tcPr>
            <w:tcW w:w="550" w:type="pct"/>
            <w:vAlign w:val="center"/>
          </w:tcPr>
          <w:p w14:paraId="43226F1D" w14:textId="77777777" w:rsidR="00996565" w:rsidRPr="00CD68BE"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w:t>
            </w:r>
          </w:p>
        </w:tc>
        <w:tc>
          <w:tcPr>
            <w:tcW w:w="550" w:type="pct"/>
            <w:vAlign w:val="center"/>
          </w:tcPr>
          <w:p w14:paraId="1B0D8D78" w14:textId="77777777" w:rsidR="00996565" w:rsidRPr="00CD68BE"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w:t>
            </w:r>
          </w:p>
        </w:tc>
        <w:tc>
          <w:tcPr>
            <w:tcW w:w="600" w:type="pct"/>
            <w:vAlign w:val="center"/>
          </w:tcPr>
          <w:p w14:paraId="71F8F794" w14:textId="77777777" w:rsidR="00996565"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w:t>
            </w:r>
          </w:p>
        </w:tc>
      </w:tr>
      <w:tr w:rsidR="00996565" w14:paraId="6EACB263"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3FF5AC73" w14:textId="77777777" w:rsidR="00996565" w:rsidRPr="004E6680" w:rsidRDefault="00996565" w:rsidP="00996565">
            <w:pPr>
              <w:spacing w:before="40" w:after="40" w:line="240" w:lineRule="atLeast"/>
              <w:ind w:left="593"/>
              <w:rPr>
                <w:rFonts w:cstheme="minorHAnsi"/>
                <w:b w:val="0"/>
                <w:sz w:val="18"/>
                <w:szCs w:val="18"/>
              </w:rPr>
            </w:pPr>
            <w:r w:rsidRPr="004E6680">
              <w:rPr>
                <w:rFonts w:cstheme="minorHAnsi"/>
                <w:b w:val="0"/>
                <w:sz w:val="18"/>
                <w:szCs w:val="18"/>
              </w:rPr>
              <w:t>Cost of margin ($)</w:t>
            </w:r>
          </w:p>
        </w:tc>
        <w:tc>
          <w:tcPr>
            <w:tcW w:w="551" w:type="pct"/>
            <w:noWrap/>
            <w:vAlign w:val="center"/>
          </w:tcPr>
          <w:p w14:paraId="4EE58DDF" w14:textId="77777777" w:rsidR="00996565" w:rsidRPr="005C6DDE"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$1.06</w:t>
            </w:r>
          </w:p>
        </w:tc>
        <w:tc>
          <w:tcPr>
            <w:tcW w:w="550" w:type="pct"/>
            <w:vAlign w:val="center"/>
          </w:tcPr>
          <w:p w14:paraId="57807289" w14:textId="77777777" w:rsidR="00996565" w:rsidRPr="005C6DDE"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$1.15</w:t>
            </w:r>
          </w:p>
        </w:tc>
        <w:tc>
          <w:tcPr>
            <w:tcW w:w="550" w:type="pct"/>
            <w:vAlign w:val="center"/>
          </w:tcPr>
          <w:p w14:paraId="75B6D964" w14:textId="77777777" w:rsidR="00996565" w:rsidRPr="005C6DDE"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$1.21</w:t>
            </w:r>
          </w:p>
        </w:tc>
        <w:tc>
          <w:tcPr>
            <w:tcW w:w="600" w:type="pct"/>
            <w:vAlign w:val="center"/>
          </w:tcPr>
          <w:p w14:paraId="02BED98D" w14:textId="77777777" w:rsidR="00996565"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$1.59</w:t>
            </w:r>
          </w:p>
        </w:tc>
      </w:tr>
      <w:tr w:rsidR="00996565" w:rsidRPr="006A50F1" w14:paraId="54C68A92" w14:textId="77777777" w:rsidTr="009965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72447AB2" w14:textId="77777777" w:rsidR="00996565" w:rsidRPr="006A50F1" w:rsidRDefault="00996565" w:rsidP="00996565">
            <w:pPr>
              <w:spacing w:before="40" w:after="40" w:line="240" w:lineRule="atLeast"/>
              <w:rPr>
                <w:rFonts w:cstheme="minorHAnsi"/>
                <w:sz w:val="18"/>
                <w:szCs w:val="18"/>
              </w:rPr>
            </w:pPr>
            <w:bookmarkStart w:id="38" w:name="OLE_LINK6"/>
            <w:r w:rsidRPr="006A50F1">
              <w:rPr>
                <w:rFonts w:cstheme="minorHAnsi"/>
                <w:sz w:val="18"/>
                <w:szCs w:val="18"/>
              </w:rPr>
              <w:t xml:space="preserve">Cumulative cost per hour, after </w:t>
            </w:r>
            <w:r>
              <w:rPr>
                <w:rFonts w:cstheme="minorHAnsi"/>
                <w:sz w:val="18"/>
                <w:szCs w:val="18"/>
              </w:rPr>
              <w:t>margin</w:t>
            </w:r>
            <w:bookmarkEnd w:id="38"/>
          </w:p>
        </w:tc>
        <w:tc>
          <w:tcPr>
            <w:tcW w:w="551" w:type="pct"/>
            <w:noWrap/>
            <w:vAlign w:val="center"/>
          </w:tcPr>
          <w:p w14:paraId="482403D0" w14:textId="77777777" w:rsidR="00996565" w:rsidRPr="006A50F1"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6A50F1">
              <w:rPr>
                <w:rFonts w:cstheme="minorHAnsi"/>
                <w:b/>
                <w:sz w:val="18"/>
                <w:szCs w:val="18"/>
              </w:rPr>
              <w:t>$</w:t>
            </w:r>
            <w:r>
              <w:rPr>
                <w:rFonts w:cstheme="minorHAnsi"/>
                <w:b/>
                <w:sz w:val="18"/>
                <w:szCs w:val="18"/>
              </w:rPr>
              <w:t>54.30</w:t>
            </w:r>
          </w:p>
        </w:tc>
        <w:tc>
          <w:tcPr>
            <w:tcW w:w="550" w:type="pct"/>
            <w:vAlign w:val="center"/>
          </w:tcPr>
          <w:p w14:paraId="28B313DD" w14:textId="77777777" w:rsidR="00996565" w:rsidRPr="006A50F1" w:rsidRDefault="00996565" w:rsidP="008238F3">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6A50F1">
              <w:rPr>
                <w:rFonts w:cstheme="minorHAnsi"/>
                <w:b/>
                <w:sz w:val="18"/>
                <w:szCs w:val="18"/>
              </w:rPr>
              <w:t>$</w:t>
            </w:r>
            <w:r>
              <w:rPr>
                <w:rFonts w:cstheme="minorHAnsi"/>
                <w:b/>
                <w:sz w:val="18"/>
                <w:szCs w:val="18"/>
              </w:rPr>
              <w:t>58.</w:t>
            </w:r>
            <w:r w:rsidR="008238F3">
              <w:rPr>
                <w:rFonts w:cstheme="minorHAnsi"/>
                <w:b/>
                <w:sz w:val="18"/>
                <w:szCs w:val="18"/>
              </w:rPr>
              <w:t>68</w:t>
            </w:r>
          </w:p>
        </w:tc>
        <w:tc>
          <w:tcPr>
            <w:tcW w:w="550" w:type="pct"/>
            <w:vAlign w:val="center"/>
          </w:tcPr>
          <w:p w14:paraId="790DBBD4" w14:textId="77777777" w:rsidR="00996565" w:rsidRPr="006A50F1"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6A50F1">
              <w:rPr>
                <w:rFonts w:cstheme="minorHAnsi"/>
                <w:b/>
                <w:sz w:val="18"/>
                <w:szCs w:val="18"/>
              </w:rPr>
              <w:t>$</w:t>
            </w:r>
            <w:r>
              <w:rPr>
                <w:rFonts w:cstheme="minorHAnsi"/>
                <w:b/>
                <w:sz w:val="18"/>
                <w:szCs w:val="18"/>
              </w:rPr>
              <w:t>61.76</w:t>
            </w:r>
          </w:p>
        </w:tc>
        <w:tc>
          <w:tcPr>
            <w:tcW w:w="600" w:type="pct"/>
            <w:vAlign w:val="center"/>
          </w:tcPr>
          <w:p w14:paraId="1EEBBD36" w14:textId="77777777" w:rsidR="00996565" w:rsidRPr="006A50F1" w:rsidRDefault="00996565" w:rsidP="00996565">
            <w:pPr>
              <w:spacing w:before="40" w:after="40" w:line="24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$80.90</w:t>
            </w:r>
          </w:p>
        </w:tc>
      </w:tr>
      <w:tr w:rsidR="00996565" w14:paraId="5E510CED" w14:textId="77777777" w:rsidTr="00996565">
        <w:trPr>
          <w:trHeight w:val="300"/>
        </w:trPr>
        <w:tc>
          <w:tcPr>
            <w:cnfStyle w:val="001000000000" w:firstRow="0" w:lastRow="0" w:firstColumn="1" w:lastColumn="0" w:oddVBand="0" w:evenVBand="0" w:oddHBand="0" w:evenHBand="0" w:firstRowFirstColumn="0" w:firstRowLastColumn="0" w:lastRowFirstColumn="0" w:lastRowLastColumn="0"/>
            <w:tcW w:w="2748" w:type="pct"/>
            <w:vAlign w:val="center"/>
          </w:tcPr>
          <w:p w14:paraId="5FBEE797" w14:textId="77777777" w:rsidR="00996565" w:rsidRPr="005C6DDE" w:rsidRDefault="00996565" w:rsidP="00996565">
            <w:pPr>
              <w:spacing w:before="40" w:after="40" w:line="240" w:lineRule="atLeast"/>
              <w:rPr>
                <w:rFonts w:cstheme="minorHAnsi"/>
                <w:b w:val="0"/>
                <w:sz w:val="18"/>
                <w:szCs w:val="18"/>
              </w:rPr>
            </w:pPr>
            <w:r w:rsidRPr="005C6DDE">
              <w:rPr>
                <w:rFonts w:cstheme="minorHAnsi"/>
                <w:b w:val="0"/>
                <w:sz w:val="18"/>
                <w:szCs w:val="18"/>
              </w:rPr>
              <w:t xml:space="preserve">Cumulative </w:t>
            </w:r>
            <w:r>
              <w:rPr>
                <w:rFonts w:cstheme="minorHAnsi"/>
                <w:b w:val="0"/>
                <w:sz w:val="18"/>
                <w:szCs w:val="18"/>
              </w:rPr>
              <w:t>i</w:t>
            </w:r>
            <w:r w:rsidRPr="001A1BE7">
              <w:rPr>
                <w:rFonts w:cstheme="minorHAnsi"/>
                <w:b w:val="0"/>
                <w:sz w:val="18"/>
                <w:szCs w:val="18"/>
              </w:rPr>
              <w:t xml:space="preserve">ncrease from </w:t>
            </w:r>
            <w:r>
              <w:rPr>
                <w:rFonts w:cstheme="minorHAnsi"/>
                <w:b w:val="0"/>
                <w:sz w:val="18"/>
                <w:szCs w:val="18"/>
              </w:rPr>
              <w:t>standard hourly rate</w:t>
            </w:r>
          </w:p>
        </w:tc>
        <w:tc>
          <w:tcPr>
            <w:tcW w:w="551" w:type="pct"/>
            <w:noWrap/>
            <w:vAlign w:val="center"/>
          </w:tcPr>
          <w:p w14:paraId="39C782EB" w14:textId="77777777" w:rsidR="00996565" w:rsidRPr="005C6DDE"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83.7%</w:t>
            </w:r>
          </w:p>
        </w:tc>
        <w:tc>
          <w:tcPr>
            <w:tcW w:w="550" w:type="pct"/>
            <w:vAlign w:val="center"/>
          </w:tcPr>
          <w:p w14:paraId="35F63CE6" w14:textId="77777777" w:rsidR="00996565" w:rsidRPr="005C6DDE"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91.2%</w:t>
            </w:r>
          </w:p>
        </w:tc>
        <w:tc>
          <w:tcPr>
            <w:tcW w:w="550" w:type="pct"/>
            <w:vAlign w:val="center"/>
          </w:tcPr>
          <w:p w14:paraId="428B20FE" w14:textId="77777777" w:rsidR="00996565" w:rsidRPr="005C6DDE"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93.5%</w:t>
            </w:r>
          </w:p>
        </w:tc>
        <w:tc>
          <w:tcPr>
            <w:tcW w:w="600" w:type="pct"/>
            <w:vAlign w:val="center"/>
          </w:tcPr>
          <w:p w14:paraId="6E7D7727" w14:textId="77777777" w:rsidR="00996565" w:rsidRDefault="00996565" w:rsidP="00996565">
            <w:pPr>
              <w:spacing w:before="40" w:after="40" w:line="240" w:lineRule="atLeas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110.0%</w:t>
            </w:r>
          </w:p>
        </w:tc>
      </w:tr>
    </w:tbl>
    <w:p w14:paraId="6669C061" w14:textId="77777777" w:rsidR="00ED5403" w:rsidRDefault="00ED5403" w:rsidP="00ED5403">
      <w:pPr>
        <w:sectPr w:rsidR="00ED5403" w:rsidSect="00A54E47">
          <w:pgSz w:w="11906" w:h="16838" w:code="9"/>
          <w:pgMar w:top="1440" w:right="1440" w:bottom="1440" w:left="1440" w:header="709" w:footer="709" w:gutter="0"/>
          <w:cols w:space="708"/>
          <w:titlePg/>
          <w:docGrid w:linePitch="360"/>
        </w:sectPr>
      </w:pPr>
    </w:p>
    <w:p w14:paraId="020632BE" w14:textId="77777777" w:rsidR="00ED5403" w:rsidRDefault="00ED5403" w:rsidP="00ED5403">
      <w:pPr>
        <w:pStyle w:val="Heading1"/>
      </w:pPr>
      <w:bookmarkStart w:id="39" w:name="_Toc46398745"/>
      <w:r w:rsidRPr="00ED5403">
        <w:t>Price Limits Determined by the Cost Model</w:t>
      </w:r>
      <w:bookmarkEnd w:id="39"/>
    </w:p>
    <w:p w14:paraId="42D54CE9" w14:textId="77777777" w:rsidR="00AC5E2D" w:rsidRDefault="00AC5E2D" w:rsidP="00AC5E2D">
      <w:r>
        <w:t xml:space="preserve">The following Table sets out how the price limits for each relevant NDIS support item is related to the NDIA’s estimates of the efficient costs of delivering supports. Further information can </w:t>
      </w:r>
      <w:r w:rsidRPr="008A24A3">
        <w:t xml:space="preserve">be found in the NDIA’s </w:t>
      </w:r>
      <w:r>
        <w:rPr>
          <w:i/>
        </w:rPr>
        <w:t>Price Guide 2020-21.</w:t>
      </w:r>
      <w:r>
        <w:rPr>
          <w:rStyle w:val="FootnoteReference"/>
          <w:i/>
        </w:rPr>
        <w:footnoteReference w:id="23"/>
      </w:r>
      <w:r w:rsidRPr="008A24A3">
        <w:rPr>
          <w:i/>
        </w:rPr>
        <w:t xml:space="preserve">  </w:t>
      </w:r>
    </w:p>
    <w:tbl>
      <w:tblPr>
        <w:tblStyle w:val="GridTable4-Accent4"/>
        <w:tblW w:w="5000" w:type="pct"/>
        <w:tblLook w:val="04A0" w:firstRow="1" w:lastRow="0" w:firstColumn="1" w:lastColumn="0" w:noHBand="0" w:noVBand="1"/>
        <w:tblDescription w:val=" Price Limits Determined by the Cost Model. All NDIS supports that are determined or derived from the DSW Model."/>
      </w:tblPr>
      <w:tblGrid>
        <w:gridCol w:w="1980"/>
        <w:gridCol w:w="5670"/>
        <w:gridCol w:w="2268"/>
        <w:gridCol w:w="786"/>
        <w:gridCol w:w="2085"/>
        <w:gridCol w:w="1159"/>
      </w:tblGrid>
      <w:tr w:rsidR="00AE0D61" w:rsidRPr="00AE0D61" w14:paraId="127A5FF6" w14:textId="77777777" w:rsidTr="0031554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BF44EBB" w14:textId="77777777" w:rsidR="00AE0D61" w:rsidRPr="00AE0D61" w:rsidRDefault="00DC3ED7" w:rsidP="00AE0D61">
            <w:pPr>
              <w:spacing w:before="0"/>
              <w:rPr>
                <w:rFonts w:ascii="Calibri" w:eastAsia="Times New Roman" w:hAnsi="Calibri" w:cs="Calibri"/>
                <w:sz w:val="16"/>
                <w:szCs w:val="16"/>
                <w:lang w:eastAsia="en-AU"/>
              </w:rPr>
            </w:pPr>
            <w:r>
              <w:rPr>
                <w:rFonts w:ascii="Calibri" w:eastAsia="Times New Roman" w:hAnsi="Calibri" w:cs="Calibri"/>
                <w:sz w:val="16"/>
                <w:szCs w:val="16"/>
                <w:lang w:eastAsia="en-AU"/>
              </w:rPr>
              <w:t>Sup</w:t>
            </w:r>
            <w:r w:rsidR="00AE0D61" w:rsidRPr="00AE0D61">
              <w:rPr>
                <w:rFonts w:ascii="Calibri" w:eastAsia="Times New Roman" w:hAnsi="Calibri" w:cs="Calibri"/>
                <w:sz w:val="16"/>
                <w:szCs w:val="16"/>
                <w:lang w:eastAsia="en-AU"/>
              </w:rPr>
              <w:t>port Item Number</w:t>
            </w:r>
          </w:p>
        </w:tc>
        <w:tc>
          <w:tcPr>
            <w:tcW w:w="5670" w:type="dxa"/>
            <w:noWrap/>
            <w:vAlign w:val="center"/>
            <w:hideMark/>
          </w:tcPr>
          <w:p w14:paraId="367D1C5F" w14:textId="77777777" w:rsidR="00AE0D61" w:rsidRPr="00AE0D61" w:rsidRDefault="00AE0D61" w:rsidP="00AE0D61">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AE0D61">
              <w:rPr>
                <w:rFonts w:ascii="Calibri" w:eastAsia="Times New Roman" w:hAnsi="Calibri" w:cs="Calibri"/>
                <w:sz w:val="16"/>
                <w:szCs w:val="16"/>
                <w:lang w:eastAsia="en-AU"/>
              </w:rPr>
              <w:t>Support Item Name</w:t>
            </w:r>
          </w:p>
        </w:tc>
        <w:tc>
          <w:tcPr>
            <w:tcW w:w="2268" w:type="dxa"/>
            <w:noWrap/>
            <w:vAlign w:val="center"/>
            <w:hideMark/>
          </w:tcPr>
          <w:p w14:paraId="78B64A71" w14:textId="77777777" w:rsidR="00AE0D61" w:rsidRPr="00AE0D61" w:rsidRDefault="00AE0D61" w:rsidP="00AE0D61">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AE0D61">
              <w:rPr>
                <w:rFonts w:ascii="Calibri" w:eastAsia="Times New Roman" w:hAnsi="Calibri" w:cs="Calibri"/>
                <w:sz w:val="16"/>
                <w:szCs w:val="16"/>
                <w:lang w:eastAsia="en-AU"/>
              </w:rPr>
              <w:t>Methodology</w:t>
            </w:r>
          </w:p>
        </w:tc>
        <w:tc>
          <w:tcPr>
            <w:tcW w:w="786" w:type="dxa"/>
            <w:noWrap/>
            <w:vAlign w:val="center"/>
            <w:hideMark/>
          </w:tcPr>
          <w:p w14:paraId="0452BA67" w14:textId="77777777" w:rsidR="00AE0D61" w:rsidRPr="00AE0D61" w:rsidRDefault="00AE0D61" w:rsidP="00AE0D61">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AE0D61">
              <w:rPr>
                <w:rFonts w:ascii="Calibri" w:eastAsia="Times New Roman" w:hAnsi="Calibri" w:cs="Calibri"/>
                <w:sz w:val="16"/>
                <w:szCs w:val="16"/>
                <w:lang w:eastAsia="en-AU"/>
              </w:rPr>
              <w:t>Basic Model</w:t>
            </w:r>
          </w:p>
        </w:tc>
        <w:tc>
          <w:tcPr>
            <w:tcW w:w="2085" w:type="dxa"/>
            <w:vAlign w:val="center"/>
            <w:hideMark/>
          </w:tcPr>
          <w:p w14:paraId="74C5C3E0" w14:textId="77777777" w:rsidR="00AE0D61" w:rsidRPr="00AE0D61" w:rsidRDefault="00AE0D61" w:rsidP="00AE0D61">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AE0D61">
              <w:rPr>
                <w:rFonts w:ascii="Calibri" w:eastAsia="Times New Roman" w:hAnsi="Calibri" w:cs="Calibri"/>
                <w:sz w:val="16"/>
                <w:szCs w:val="16"/>
                <w:lang w:eastAsia="en-AU"/>
              </w:rPr>
              <w:t>Loading</w:t>
            </w:r>
          </w:p>
        </w:tc>
        <w:tc>
          <w:tcPr>
            <w:tcW w:w="1159" w:type="dxa"/>
            <w:noWrap/>
            <w:vAlign w:val="center"/>
            <w:hideMark/>
          </w:tcPr>
          <w:p w14:paraId="61F86CFF" w14:textId="77777777" w:rsidR="00AE0D61" w:rsidRPr="00AE0D61" w:rsidRDefault="00AE0D61" w:rsidP="00AE0D61">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en-AU"/>
              </w:rPr>
            </w:pPr>
            <w:r w:rsidRPr="00AE0D61">
              <w:rPr>
                <w:rFonts w:ascii="Calibri" w:eastAsia="Times New Roman" w:hAnsi="Calibri" w:cs="Calibri"/>
                <w:sz w:val="16"/>
                <w:szCs w:val="16"/>
                <w:lang w:eastAsia="en-AU"/>
              </w:rPr>
              <w:t>Adjustment</w:t>
            </w:r>
          </w:p>
        </w:tc>
      </w:tr>
      <w:tr w:rsidR="00AE0D61" w:rsidRPr="00AE0D61" w14:paraId="251E90C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BC0145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01_002_0107_1_1</w:t>
            </w:r>
          </w:p>
        </w:tc>
        <w:tc>
          <w:tcPr>
            <w:tcW w:w="5670" w:type="dxa"/>
            <w:noWrap/>
            <w:vAlign w:val="center"/>
            <w:hideMark/>
          </w:tcPr>
          <w:p w14:paraId="12DA363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Weekday Night</w:t>
            </w:r>
          </w:p>
        </w:tc>
        <w:tc>
          <w:tcPr>
            <w:tcW w:w="2268" w:type="dxa"/>
            <w:noWrap/>
            <w:vAlign w:val="center"/>
            <w:hideMark/>
          </w:tcPr>
          <w:p w14:paraId="585F7EC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628F701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3CCB78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4FA9188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6294FD9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0A5737F"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01_002_0107_1_1_T</w:t>
            </w:r>
          </w:p>
        </w:tc>
        <w:tc>
          <w:tcPr>
            <w:tcW w:w="5670" w:type="dxa"/>
            <w:noWrap/>
            <w:vAlign w:val="center"/>
            <w:hideMark/>
          </w:tcPr>
          <w:p w14:paraId="064C880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Weekday Night - TTP</w:t>
            </w:r>
          </w:p>
        </w:tc>
        <w:tc>
          <w:tcPr>
            <w:tcW w:w="2268" w:type="dxa"/>
            <w:noWrap/>
            <w:vAlign w:val="center"/>
            <w:hideMark/>
          </w:tcPr>
          <w:p w14:paraId="410A896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C45CB4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C93FF4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44B4AE71"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64C6F66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8D264B4"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01_010_0107_1_1</w:t>
            </w:r>
          </w:p>
        </w:tc>
        <w:tc>
          <w:tcPr>
            <w:tcW w:w="5670" w:type="dxa"/>
            <w:noWrap/>
            <w:vAlign w:val="center"/>
            <w:hideMark/>
          </w:tcPr>
          <w:p w14:paraId="0A6DF9C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Night-Time Sleepover</w:t>
            </w:r>
          </w:p>
        </w:tc>
        <w:tc>
          <w:tcPr>
            <w:tcW w:w="2268" w:type="dxa"/>
            <w:noWrap/>
            <w:vAlign w:val="center"/>
            <w:hideMark/>
          </w:tcPr>
          <w:p w14:paraId="3813029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C57D59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0A8ECA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4B8C69E3" w14:textId="77777777" w:rsidR="00AE0D61" w:rsidRPr="00AE0D61" w:rsidRDefault="00D54BD6"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2</w:t>
            </w:r>
          </w:p>
        </w:tc>
      </w:tr>
      <w:tr w:rsidR="00AE0D61" w:rsidRPr="00AE0D61" w14:paraId="2D06BFEC"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FE82F41"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01_011_0107_1_1</w:t>
            </w:r>
          </w:p>
        </w:tc>
        <w:tc>
          <w:tcPr>
            <w:tcW w:w="5670" w:type="dxa"/>
            <w:noWrap/>
            <w:vAlign w:val="center"/>
            <w:hideMark/>
          </w:tcPr>
          <w:p w14:paraId="496995E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Weekday Daytime</w:t>
            </w:r>
          </w:p>
        </w:tc>
        <w:tc>
          <w:tcPr>
            <w:tcW w:w="2268" w:type="dxa"/>
            <w:noWrap/>
            <w:vAlign w:val="center"/>
            <w:hideMark/>
          </w:tcPr>
          <w:p w14:paraId="72A9593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65D1AFE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856586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389802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27C7698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6FD9374"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01_011_0107_1_1_T</w:t>
            </w:r>
          </w:p>
        </w:tc>
        <w:tc>
          <w:tcPr>
            <w:tcW w:w="5670" w:type="dxa"/>
            <w:noWrap/>
            <w:vAlign w:val="center"/>
            <w:hideMark/>
          </w:tcPr>
          <w:p w14:paraId="790EB75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Weekday Daytime - TTP</w:t>
            </w:r>
          </w:p>
        </w:tc>
        <w:tc>
          <w:tcPr>
            <w:tcW w:w="2268" w:type="dxa"/>
            <w:noWrap/>
            <w:vAlign w:val="center"/>
            <w:hideMark/>
          </w:tcPr>
          <w:p w14:paraId="449D25C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BBE352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B0A036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A31E914"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0B19970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827270C"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01_012_0107_1_1</w:t>
            </w:r>
          </w:p>
        </w:tc>
        <w:tc>
          <w:tcPr>
            <w:tcW w:w="5670" w:type="dxa"/>
            <w:noWrap/>
            <w:vAlign w:val="center"/>
            <w:hideMark/>
          </w:tcPr>
          <w:p w14:paraId="0111BF2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Public Holiday</w:t>
            </w:r>
          </w:p>
        </w:tc>
        <w:tc>
          <w:tcPr>
            <w:tcW w:w="2268" w:type="dxa"/>
            <w:noWrap/>
            <w:vAlign w:val="center"/>
            <w:hideMark/>
          </w:tcPr>
          <w:p w14:paraId="20DEA25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807C54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D27B43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773A1A8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6E4EC38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FC38822"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01_012_0107_1_1_T</w:t>
            </w:r>
          </w:p>
        </w:tc>
        <w:tc>
          <w:tcPr>
            <w:tcW w:w="5670" w:type="dxa"/>
            <w:noWrap/>
            <w:vAlign w:val="center"/>
            <w:hideMark/>
          </w:tcPr>
          <w:p w14:paraId="3B4A811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Public Holiday - TTP</w:t>
            </w:r>
          </w:p>
        </w:tc>
        <w:tc>
          <w:tcPr>
            <w:tcW w:w="2268" w:type="dxa"/>
            <w:noWrap/>
            <w:vAlign w:val="center"/>
            <w:hideMark/>
          </w:tcPr>
          <w:p w14:paraId="3446B88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820F75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3BDB39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5F9EE89D"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6F1A263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EB0BD01"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01_013_0107_1_1</w:t>
            </w:r>
          </w:p>
        </w:tc>
        <w:tc>
          <w:tcPr>
            <w:tcW w:w="5670" w:type="dxa"/>
            <w:noWrap/>
            <w:vAlign w:val="center"/>
            <w:hideMark/>
          </w:tcPr>
          <w:p w14:paraId="3D4FC5F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Saturday</w:t>
            </w:r>
          </w:p>
        </w:tc>
        <w:tc>
          <w:tcPr>
            <w:tcW w:w="2268" w:type="dxa"/>
            <w:noWrap/>
            <w:vAlign w:val="center"/>
            <w:hideMark/>
          </w:tcPr>
          <w:p w14:paraId="386ACFE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4B6A0B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D40777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4D346BD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745B267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93909A2"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01_013_0107_1_1_T</w:t>
            </w:r>
          </w:p>
        </w:tc>
        <w:tc>
          <w:tcPr>
            <w:tcW w:w="5670" w:type="dxa"/>
            <w:noWrap/>
            <w:vAlign w:val="center"/>
            <w:hideMark/>
          </w:tcPr>
          <w:p w14:paraId="7C337D3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Saturday - TTP</w:t>
            </w:r>
          </w:p>
        </w:tc>
        <w:tc>
          <w:tcPr>
            <w:tcW w:w="2268" w:type="dxa"/>
            <w:noWrap/>
            <w:vAlign w:val="center"/>
            <w:hideMark/>
          </w:tcPr>
          <w:p w14:paraId="5E57A05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2AFF38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31DDFB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7C1CB510"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676D252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7E07707"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01_014_0107_1_1</w:t>
            </w:r>
          </w:p>
        </w:tc>
        <w:tc>
          <w:tcPr>
            <w:tcW w:w="5670" w:type="dxa"/>
            <w:noWrap/>
            <w:vAlign w:val="center"/>
            <w:hideMark/>
          </w:tcPr>
          <w:p w14:paraId="29433DD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Sunday</w:t>
            </w:r>
          </w:p>
        </w:tc>
        <w:tc>
          <w:tcPr>
            <w:tcW w:w="2268" w:type="dxa"/>
            <w:noWrap/>
            <w:vAlign w:val="center"/>
            <w:hideMark/>
          </w:tcPr>
          <w:p w14:paraId="13A8CD2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DD24B4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79E7F9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3690ADE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7456A85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1382582"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01_014_0107_1_1_T</w:t>
            </w:r>
          </w:p>
        </w:tc>
        <w:tc>
          <w:tcPr>
            <w:tcW w:w="5670" w:type="dxa"/>
            <w:noWrap/>
            <w:vAlign w:val="center"/>
            <w:hideMark/>
          </w:tcPr>
          <w:p w14:paraId="4203D73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Sunday - TTP</w:t>
            </w:r>
          </w:p>
        </w:tc>
        <w:tc>
          <w:tcPr>
            <w:tcW w:w="2268" w:type="dxa"/>
            <w:noWrap/>
            <w:vAlign w:val="center"/>
            <w:hideMark/>
          </w:tcPr>
          <w:p w14:paraId="28648E3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4B1562F"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244205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A9A8113"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2547AE9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B841347"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01_015_0107_1_1</w:t>
            </w:r>
          </w:p>
        </w:tc>
        <w:tc>
          <w:tcPr>
            <w:tcW w:w="5670" w:type="dxa"/>
            <w:noWrap/>
            <w:vAlign w:val="center"/>
            <w:hideMark/>
          </w:tcPr>
          <w:p w14:paraId="54E45B5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Weekday Evening</w:t>
            </w:r>
          </w:p>
        </w:tc>
        <w:tc>
          <w:tcPr>
            <w:tcW w:w="2268" w:type="dxa"/>
            <w:noWrap/>
            <w:vAlign w:val="center"/>
            <w:hideMark/>
          </w:tcPr>
          <w:p w14:paraId="5790FC8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035DFA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DD0E99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329F533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5260D5A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A0168EA"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01_015_0107_1_1_T</w:t>
            </w:r>
          </w:p>
        </w:tc>
        <w:tc>
          <w:tcPr>
            <w:tcW w:w="5670" w:type="dxa"/>
            <w:noWrap/>
            <w:vAlign w:val="center"/>
            <w:hideMark/>
          </w:tcPr>
          <w:p w14:paraId="3322AA3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Standard - Weekday Evening - TTP</w:t>
            </w:r>
          </w:p>
        </w:tc>
        <w:tc>
          <w:tcPr>
            <w:tcW w:w="2268" w:type="dxa"/>
            <w:noWrap/>
            <w:vAlign w:val="center"/>
            <w:hideMark/>
          </w:tcPr>
          <w:p w14:paraId="53E96F6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D629CD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B273A8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7AFCE16C"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05518A2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7F17DBF"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01_045_0115_1_1</w:t>
            </w:r>
          </w:p>
        </w:tc>
        <w:tc>
          <w:tcPr>
            <w:tcW w:w="5670" w:type="dxa"/>
            <w:noWrap/>
            <w:vAlign w:val="center"/>
            <w:hideMark/>
          </w:tcPr>
          <w:p w14:paraId="367201E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- 1:4 - Weekday</w:t>
            </w:r>
          </w:p>
        </w:tc>
        <w:tc>
          <w:tcPr>
            <w:tcW w:w="2268" w:type="dxa"/>
            <w:noWrap/>
            <w:vAlign w:val="center"/>
            <w:hideMark/>
          </w:tcPr>
          <w:p w14:paraId="4EC0860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AE2F62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000A7C8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D573323" w14:textId="77777777" w:rsidR="00AE0D61" w:rsidRPr="00AE0D61" w:rsidRDefault="00093FC9"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241C822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42CCEE2"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01_049_0104_1_1</w:t>
            </w:r>
          </w:p>
        </w:tc>
        <w:tc>
          <w:tcPr>
            <w:tcW w:w="5670" w:type="dxa"/>
            <w:noWrap/>
            <w:vAlign w:val="center"/>
            <w:hideMark/>
          </w:tcPr>
          <w:p w14:paraId="6609851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Establishment Fee For Personal Care/Participation</w:t>
            </w:r>
          </w:p>
        </w:tc>
        <w:tc>
          <w:tcPr>
            <w:tcW w:w="2268" w:type="dxa"/>
            <w:noWrap/>
            <w:vAlign w:val="center"/>
            <w:hideMark/>
          </w:tcPr>
          <w:p w14:paraId="1643F77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87A1CFF"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FB7516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06B9E1EA" w14:textId="77777777" w:rsidR="00AE0D61" w:rsidRPr="00AE0D61" w:rsidRDefault="00D54BD6"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3</w:t>
            </w:r>
          </w:p>
        </w:tc>
      </w:tr>
      <w:tr w:rsidR="00AE0D61" w:rsidRPr="00AE0D61" w14:paraId="4397A768"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4BA228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01_049_0107_1_1</w:t>
            </w:r>
          </w:p>
        </w:tc>
        <w:tc>
          <w:tcPr>
            <w:tcW w:w="5670" w:type="dxa"/>
            <w:noWrap/>
            <w:vAlign w:val="center"/>
            <w:hideMark/>
          </w:tcPr>
          <w:p w14:paraId="23CC7C4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Establishment Fee For Personal Care/Participation</w:t>
            </w:r>
          </w:p>
        </w:tc>
        <w:tc>
          <w:tcPr>
            <w:tcW w:w="2268" w:type="dxa"/>
            <w:noWrap/>
            <w:vAlign w:val="center"/>
            <w:hideMark/>
          </w:tcPr>
          <w:p w14:paraId="76C774F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CE03AF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14412E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4B958EE4" w14:textId="77777777" w:rsidR="00AE0D61" w:rsidRPr="00AE0D61" w:rsidRDefault="00D54BD6"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3</w:t>
            </w:r>
          </w:p>
        </w:tc>
      </w:tr>
      <w:tr w:rsidR="00AE0D61" w:rsidRPr="00AE0D61" w14:paraId="3F03775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BFE0DCF"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01_051_0115_1_1</w:t>
            </w:r>
          </w:p>
        </w:tc>
        <w:tc>
          <w:tcPr>
            <w:tcW w:w="5670" w:type="dxa"/>
            <w:noWrap/>
            <w:vAlign w:val="center"/>
            <w:hideMark/>
          </w:tcPr>
          <w:p w14:paraId="4C648D8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- 1:4 - Saturday</w:t>
            </w:r>
          </w:p>
        </w:tc>
        <w:tc>
          <w:tcPr>
            <w:tcW w:w="2268" w:type="dxa"/>
            <w:noWrap/>
            <w:vAlign w:val="center"/>
            <w:hideMark/>
          </w:tcPr>
          <w:p w14:paraId="48971B6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803660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56E276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4DEAAD3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71D5F68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306EB9A"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01_052_0115_1_1</w:t>
            </w:r>
          </w:p>
        </w:tc>
        <w:tc>
          <w:tcPr>
            <w:tcW w:w="5670" w:type="dxa"/>
            <w:noWrap/>
            <w:vAlign w:val="center"/>
            <w:hideMark/>
          </w:tcPr>
          <w:p w14:paraId="3B892AF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- 1:4 - Sunday</w:t>
            </w:r>
          </w:p>
        </w:tc>
        <w:tc>
          <w:tcPr>
            <w:tcW w:w="2268" w:type="dxa"/>
            <w:noWrap/>
            <w:vAlign w:val="center"/>
            <w:hideMark/>
          </w:tcPr>
          <w:p w14:paraId="1843270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33CC60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2D84F06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60066EC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13445AA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85F987F"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01_053_0115_1_1</w:t>
            </w:r>
          </w:p>
        </w:tc>
        <w:tc>
          <w:tcPr>
            <w:tcW w:w="5670" w:type="dxa"/>
            <w:noWrap/>
            <w:vAlign w:val="center"/>
            <w:hideMark/>
          </w:tcPr>
          <w:p w14:paraId="466A18E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- 1:4 - Public Holiday</w:t>
            </w:r>
          </w:p>
        </w:tc>
        <w:tc>
          <w:tcPr>
            <w:tcW w:w="2268" w:type="dxa"/>
            <w:noWrap/>
            <w:vAlign w:val="center"/>
            <w:hideMark/>
          </w:tcPr>
          <w:p w14:paraId="6F4B1F4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FFCB9B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0D6CAAB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CDE328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41C8FA1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0567FB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01_054_0115_1_1</w:t>
            </w:r>
          </w:p>
        </w:tc>
        <w:tc>
          <w:tcPr>
            <w:tcW w:w="5670" w:type="dxa"/>
            <w:noWrap/>
            <w:vAlign w:val="center"/>
            <w:hideMark/>
          </w:tcPr>
          <w:p w14:paraId="516DD75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- 1:2 - Weekday</w:t>
            </w:r>
          </w:p>
        </w:tc>
        <w:tc>
          <w:tcPr>
            <w:tcW w:w="2268" w:type="dxa"/>
            <w:noWrap/>
            <w:vAlign w:val="center"/>
            <w:hideMark/>
          </w:tcPr>
          <w:p w14:paraId="7DEBBC6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7A7053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D810F4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B3455B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0496B79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62E149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01_055_0115_1_1</w:t>
            </w:r>
          </w:p>
        </w:tc>
        <w:tc>
          <w:tcPr>
            <w:tcW w:w="5670" w:type="dxa"/>
            <w:noWrap/>
            <w:vAlign w:val="center"/>
            <w:hideMark/>
          </w:tcPr>
          <w:p w14:paraId="40D8204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- 1:2 - Saturday</w:t>
            </w:r>
          </w:p>
        </w:tc>
        <w:tc>
          <w:tcPr>
            <w:tcW w:w="2268" w:type="dxa"/>
            <w:noWrap/>
            <w:vAlign w:val="center"/>
            <w:hideMark/>
          </w:tcPr>
          <w:p w14:paraId="3E5BD5B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42343C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7EBB86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90F21F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052AB67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50D811C"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01_056_0115_1_1</w:t>
            </w:r>
          </w:p>
        </w:tc>
        <w:tc>
          <w:tcPr>
            <w:tcW w:w="5670" w:type="dxa"/>
            <w:noWrap/>
            <w:vAlign w:val="center"/>
            <w:hideMark/>
          </w:tcPr>
          <w:p w14:paraId="121EC89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- 1:2 - Sunday</w:t>
            </w:r>
          </w:p>
        </w:tc>
        <w:tc>
          <w:tcPr>
            <w:tcW w:w="2268" w:type="dxa"/>
            <w:noWrap/>
            <w:vAlign w:val="center"/>
            <w:hideMark/>
          </w:tcPr>
          <w:p w14:paraId="420141C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5449C9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743778D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0F24786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33DB347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2A5F666"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01_057_0115_1_1</w:t>
            </w:r>
          </w:p>
        </w:tc>
        <w:tc>
          <w:tcPr>
            <w:tcW w:w="5670" w:type="dxa"/>
            <w:noWrap/>
            <w:vAlign w:val="center"/>
            <w:hideMark/>
          </w:tcPr>
          <w:p w14:paraId="43EA8FB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- 1:2 - Public Holiday</w:t>
            </w:r>
          </w:p>
        </w:tc>
        <w:tc>
          <w:tcPr>
            <w:tcW w:w="2268" w:type="dxa"/>
            <w:noWrap/>
            <w:vAlign w:val="center"/>
            <w:hideMark/>
          </w:tcPr>
          <w:p w14:paraId="1898C94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86DB80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439B03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42A3FB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48589A9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B794D30"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01_058_0115_1_1</w:t>
            </w:r>
          </w:p>
        </w:tc>
        <w:tc>
          <w:tcPr>
            <w:tcW w:w="5670" w:type="dxa"/>
            <w:noWrap/>
            <w:vAlign w:val="center"/>
            <w:hideMark/>
          </w:tcPr>
          <w:p w14:paraId="779329F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- 1:1 - Weekday</w:t>
            </w:r>
          </w:p>
        </w:tc>
        <w:tc>
          <w:tcPr>
            <w:tcW w:w="2268" w:type="dxa"/>
            <w:noWrap/>
            <w:vAlign w:val="center"/>
            <w:hideMark/>
          </w:tcPr>
          <w:p w14:paraId="63BDC89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2C4227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96A12A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559929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0764A69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A30865B"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01_059_0115_1_1</w:t>
            </w:r>
          </w:p>
        </w:tc>
        <w:tc>
          <w:tcPr>
            <w:tcW w:w="5670" w:type="dxa"/>
            <w:noWrap/>
            <w:vAlign w:val="center"/>
            <w:hideMark/>
          </w:tcPr>
          <w:p w14:paraId="029EF43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- 1:1 - Saturday</w:t>
            </w:r>
          </w:p>
        </w:tc>
        <w:tc>
          <w:tcPr>
            <w:tcW w:w="2268" w:type="dxa"/>
            <w:noWrap/>
            <w:vAlign w:val="center"/>
            <w:hideMark/>
          </w:tcPr>
          <w:p w14:paraId="270B29A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249154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78C2251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4B15337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32D0BD6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B589FF7"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01_060_0115_1_1</w:t>
            </w:r>
          </w:p>
        </w:tc>
        <w:tc>
          <w:tcPr>
            <w:tcW w:w="5670" w:type="dxa"/>
            <w:noWrap/>
            <w:vAlign w:val="center"/>
            <w:hideMark/>
          </w:tcPr>
          <w:p w14:paraId="51FD92C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- 1:1 - Sunday</w:t>
            </w:r>
          </w:p>
        </w:tc>
        <w:tc>
          <w:tcPr>
            <w:tcW w:w="2268" w:type="dxa"/>
            <w:noWrap/>
            <w:vAlign w:val="center"/>
            <w:hideMark/>
          </w:tcPr>
          <w:p w14:paraId="07F4EA8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9D54DA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70FC92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63A457F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212828D2"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CFE3A16"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01_061_0115_1_1</w:t>
            </w:r>
          </w:p>
        </w:tc>
        <w:tc>
          <w:tcPr>
            <w:tcW w:w="5670" w:type="dxa"/>
            <w:noWrap/>
            <w:vAlign w:val="center"/>
            <w:hideMark/>
          </w:tcPr>
          <w:p w14:paraId="10071D8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- 1:1 - Public Holiday</w:t>
            </w:r>
          </w:p>
        </w:tc>
        <w:tc>
          <w:tcPr>
            <w:tcW w:w="2268" w:type="dxa"/>
            <w:noWrap/>
            <w:vAlign w:val="center"/>
            <w:hideMark/>
          </w:tcPr>
          <w:p w14:paraId="7C04C57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E17747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44DCC3B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44E0BD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0C1D056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CB2B63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01_062_0115_1_1</w:t>
            </w:r>
          </w:p>
        </w:tc>
        <w:tc>
          <w:tcPr>
            <w:tcW w:w="5670" w:type="dxa"/>
            <w:noWrap/>
            <w:vAlign w:val="center"/>
            <w:hideMark/>
          </w:tcPr>
          <w:p w14:paraId="0F06139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- 1:3 - Weekday</w:t>
            </w:r>
          </w:p>
        </w:tc>
        <w:tc>
          <w:tcPr>
            <w:tcW w:w="2268" w:type="dxa"/>
            <w:noWrap/>
            <w:vAlign w:val="center"/>
            <w:hideMark/>
          </w:tcPr>
          <w:p w14:paraId="772B0C2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97E351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09C8B0F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7339D13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7576F97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0640339"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01_063_0115_1_1</w:t>
            </w:r>
          </w:p>
        </w:tc>
        <w:tc>
          <w:tcPr>
            <w:tcW w:w="5670" w:type="dxa"/>
            <w:noWrap/>
            <w:vAlign w:val="center"/>
            <w:hideMark/>
          </w:tcPr>
          <w:p w14:paraId="27DC894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- 1:3 - Saturday</w:t>
            </w:r>
          </w:p>
        </w:tc>
        <w:tc>
          <w:tcPr>
            <w:tcW w:w="2268" w:type="dxa"/>
            <w:noWrap/>
            <w:vAlign w:val="center"/>
            <w:hideMark/>
          </w:tcPr>
          <w:p w14:paraId="528A83D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6F19BC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1DF25A7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7584748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2693FB9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04E3541"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01_064_0115_1_1</w:t>
            </w:r>
          </w:p>
        </w:tc>
        <w:tc>
          <w:tcPr>
            <w:tcW w:w="5670" w:type="dxa"/>
            <w:noWrap/>
            <w:vAlign w:val="center"/>
            <w:hideMark/>
          </w:tcPr>
          <w:p w14:paraId="035E00C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- 1:3 - Sunday</w:t>
            </w:r>
          </w:p>
        </w:tc>
        <w:tc>
          <w:tcPr>
            <w:tcW w:w="2268" w:type="dxa"/>
            <w:noWrap/>
            <w:vAlign w:val="center"/>
            <w:hideMark/>
          </w:tcPr>
          <w:p w14:paraId="4850264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5DA8D0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C600CD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3BD99E2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5523A37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627415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01_065_0115_1_1</w:t>
            </w:r>
          </w:p>
        </w:tc>
        <w:tc>
          <w:tcPr>
            <w:tcW w:w="5670" w:type="dxa"/>
            <w:noWrap/>
            <w:vAlign w:val="center"/>
            <w:hideMark/>
          </w:tcPr>
          <w:p w14:paraId="7B01B77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STA And Assistance (Inc. Respite) - 1:3 - Public Holiday</w:t>
            </w:r>
          </w:p>
        </w:tc>
        <w:tc>
          <w:tcPr>
            <w:tcW w:w="2268" w:type="dxa"/>
            <w:noWrap/>
            <w:vAlign w:val="center"/>
            <w:hideMark/>
          </w:tcPr>
          <w:p w14:paraId="0BE901F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4FC31A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5A088E0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53CB62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4</w:t>
            </w:r>
          </w:p>
        </w:tc>
      </w:tr>
      <w:tr w:rsidR="00AE0D61" w:rsidRPr="00AE0D61" w14:paraId="768B810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3431520"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01_200_0115_1_1</w:t>
            </w:r>
          </w:p>
        </w:tc>
        <w:tc>
          <w:tcPr>
            <w:tcW w:w="5670" w:type="dxa"/>
            <w:noWrap/>
            <w:vAlign w:val="center"/>
            <w:hideMark/>
          </w:tcPr>
          <w:p w14:paraId="4F8E40F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in a STA - Weekday Daytime</w:t>
            </w:r>
          </w:p>
        </w:tc>
        <w:tc>
          <w:tcPr>
            <w:tcW w:w="2268" w:type="dxa"/>
            <w:noWrap/>
            <w:vAlign w:val="center"/>
            <w:hideMark/>
          </w:tcPr>
          <w:p w14:paraId="1F603E5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A44894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253B51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0584CE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5EFEEE1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0E0CE97"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01_201_0115_1_1</w:t>
            </w:r>
          </w:p>
        </w:tc>
        <w:tc>
          <w:tcPr>
            <w:tcW w:w="5670" w:type="dxa"/>
            <w:noWrap/>
            <w:vAlign w:val="center"/>
            <w:hideMark/>
          </w:tcPr>
          <w:p w14:paraId="2B625EC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in a STA - Weekday Evening</w:t>
            </w:r>
          </w:p>
        </w:tc>
        <w:tc>
          <w:tcPr>
            <w:tcW w:w="2268" w:type="dxa"/>
            <w:noWrap/>
            <w:vAlign w:val="center"/>
            <w:hideMark/>
          </w:tcPr>
          <w:p w14:paraId="77DAF60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61D161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4E4C54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1770D74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7745231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500F6D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01_202_0115_1_1</w:t>
            </w:r>
          </w:p>
        </w:tc>
        <w:tc>
          <w:tcPr>
            <w:tcW w:w="5670" w:type="dxa"/>
            <w:noWrap/>
            <w:vAlign w:val="center"/>
            <w:hideMark/>
          </w:tcPr>
          <w:p w14:paraId="410B8EE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in a STA - Saturday</w:t>
            </w:r>
          </w:p>
        </w:tc>
        <w:tc>
          <w:tcPr>
            <w:tcW w:w="2268" w:type="dxa"/>
            <w:noWrap/>
            <w:vAlign w:val="center"/>
            <w:hideMark/>
          </w:tcPr>
          <w:p w14:paraId="7376B95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CB134F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54ACDD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41C680B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2495FEF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25FA95B"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01_203_0115_1_1</w:t>
            </w:r>
          </w:p>
        </w:tc>
        <w:tc>
          <w:tcPr>
            <w:tcW w:w="5670" w:type="dxa"/>
            <w:noWrap/>
            <w:vAlign w:val="center"/>
            <w:hideMark/>
          </w:tcPr>
          <w:p w14:paraId="1AF0E1E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in a STA - Sunday</w:t>
            </w:r>
          </w:p>
        </w:tc>
        <w:tc>
          <w:tcPr>
            <w:tcW w:w="2268" w:type="dxa"/>
            <w:noWrap/>
            <w:vAlign w:val="center"/>
            <w:hideMark/>
          </w:tcPr>
          <w:p w14:paraId="2617063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5C56B87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5EF551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49A0457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7D97738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961F7B5"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01_204_0115_1_1</w:t>
            </w:r>
          </w:p>
        </w:tc>
        <w:tc>
          <w:tcPr>
            <w:tcW w:w="5670" w:type="dxa"/>
            <w:noWrap/>
            <w:vAlign w:val="center"/>
            <w:hideMark/>
          </w:tcPr>
          <w:p w14:paraId="2E68AF4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in a STA - Public Holiday</w:t>
            </w:r>
          </w:p>
        </w:tc>
        <w:tc>
          <w:tcPr>
            <w:tcW w:w="2268" w:type="dxa"/>
            <w:noWrap/>
            <w:vAlign w:val="center"/>
            <w:hideMark/>
          </w:tcPr>
          <w:p w14:paraId="0118E61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33F31F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A6D442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CDD371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210EE1A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6375E74"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01_205_0115_1_1</w:t>
            </w:r>
          </w:p>
        </w:tc>
        <w:tc>
          <w:tcPr>
            <w:tcW w:w="5670" w:type="dxa"/>
            <w:noWrap/>
            <w:vAlign w:val="center"/>
            <w:hideMark/>
          </w:tcPr>
          <w:p w14:paraId="052F575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in a STA - Weekday Night</w:t>
            </w:r>
          </w:p>
        </w:tc>
        <w:tc>
          <w:tcPr>
            <w:tcW w:w="2268" w:type="dxa"/>
            <w:noWrap/>
            <w:vAlign w:val="center"/>
            <w:hideMark/>
          </w:tcPr>
          <w:p w14:paraId="04367E3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9950D7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632C0B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0417D33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02CE0C1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2F3F3D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01_300_0104_1_1</w:t>
            </w:r>
          </w:p>
        </w:tc>
        <w:tc>
          <w:tcPr>
            <w:tcW w:w="5670" w:type="dxa"/>
            <w:noWrap/>
            <w:vAlign w:val="center"/>
            <w:hideMark/>
          </w:tcPr>
          <w:p w14:paraId="73DDC0E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Weekday Daytime</w:t>
            </w:r>
          </w:p>
        </w:tc>
        <w:tc>
          <w:tcPr>
            <w:tcW w:w="2268" w:type="dxa"/>
            <w:noWrap/>
            <w:vAlign w:val="center"/>
            <w:hideMark/>
          </w:tcPr>
          <w:p w14:paraId="1D3EB3F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98BC8C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2A33CC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B5FBC7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1218EFB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5B235DB"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01_300_0104_1_1_T</w:t>
            </w:r>
          </w:p>
        </w:tc>
        <w:tc>
          <w:tcPr>
            <w:tcW w:w="5670" w:type="dxa"/>
            <w:noWrap/>
            <w:vAlign w:val="center"/>
            <w:hideMark/>
          </w:tcPr>
          <w:p w14:paraId="10C8DD3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Weekday Daytime - TTP</w:t>
            </w:r>
          </w:p>
        </w:tc>
        <w:tc>
          <w:tcPr>
            <w:tcW w:w="2268" w:type="dxa"/>
            <w:noWrap/>
            <w:vAlign w:val="center"/>
            <w:hideMark/>
          </w:tcPr>
          <w:p w14:paraId="04DA67F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9D3F77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3C8ECD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E33BE51"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0D04210F"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1B0DB21"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01_301_0104_1_1</w:t>
            </w:r>
          </w:p>
        </w:tc>
        <w:tc>
          <w:tcPr>
            <w:tcW w:w="5670" w:type="dxa"/>
            <w:noWrap/>
            <w:vAlign w:val="center"/>
            <w:hideMark/>
          </w:tcPr>
          <w:p w14:paraId="58D35BC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Weekday Evening</w:t>
            </w:r>
          </w:p>
        </w:tc>
        <w:tc>
          <w:tcPr>
            <w:tcW w:w="2268" w:type="dxa"/>
            <w:noWrap/>
            <w:vAlign w:val="center"/>
            <w:hideMark/>
          </w:tcPr>
          <w:p w14:paraId="3F75A70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F94C1E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8DFB46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2917B19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2E670F6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274E8F4"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01_301_0104_1_1_T</w:t>
            </w:r>
          </w:p>
        </w:tc>
        <w:tc>
          <w:tcPr>
            <w:tcW w:w="5670" w:type="dxa"/>
            <w:noWrap/>
            <w:vAlign w:val="center"/>
            <w:hideMark/>
          </w:tcPr>
          <w:p w14:paraId="0A19D4C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Weekday Evening - TTP</w:t>
            </w:r>
          </w:p>
        </w:tc>
        <w:tc>
          <w:tcPr>
            <w:tcW w:w="2268" w:type="dxa"/>
            <w:noWrap/>
            <w:vAlign w:val="center"/>
            <w:hideMark/>
          </w:tcPr>
          <w:p w14:paraId="1C056F3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787D03F"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04CB6C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2A0C2152"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24E22D4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2C66FE8"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01_302_0104_1_1</w:t>
            </w:r>
          </w:p>
        </w:tc>
        <w:tc>
          <w:tcPr>
            <w:tcW w:w="5670" w:type="dxa"/>
            <w:noWrap/>
            <w:vAlign w:val="center"/>
            <w:hideMark/>
          </w:tcPr>
          <w:p w14:paraId="51BFE56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Saturday</w:t>
            </w:r>
          </w:p>
        </w:tc>
        <w:tc>
          <w:tcPr>
            <w:tcW w:w="2268" w:type="dxa"/>
            <w:noWrap/>
            <w:vAlign w:val="center"/>
            <w:hideMark/>
          </w:tcPr>
          <w:p w14:paraId="49D1981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8C53A4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159499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968647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53CFD64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3F0AC2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01_302_0104_1_1_T</w:t>
            </w:r>
          </w:p>
        </w:tc>
        <w:tc>
          <w:tcPr>
            <w:tcW w:w="5670" w:type="dxa"/>
            <w:noWrap/>
            <w:vAlign w:val="center"/>
            <w:hideMark/>
          </w:tcPr>
          <w:p w14:paraId="130A25F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Saturday - TTP</w:t>
            </w:r>
          </w:p>
        </w:tc>
        <w:tc>
          <w:tcPr>
            <w:tcW w:w="2268" w:type="dxa"/>
            <w:noWrap/>
            <w:vAlign w:val="center"/>
            <w:hideMark/>
          </w:tcPr>
          <w:p w14:paraId="075E887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0A5DEA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65B609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7A957C56"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5664C9C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75BE59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01_303_0104_1_1</w:t>
            </w:r>
          </w:p>
        </w:tc>
        <w:tc>
          <w:tcPr>
            <w:tcW w:w="5670" w:type="dxa"/>
            <w:noWrap/>
            <w:vAlign w:val="center"/>
            <w:hideMark/>
          </w:tcPr>
          <w:p w14:paraId="4B849BF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Sunday</w:t>
            </w:r>
          </w:p>
        </w:tc>
        <w:tc>
          <w:tcPr>
            <w:tcW w:w="2268" w:type="dxa"/>
            <w:noWrap/>
            <w:vAlign w:val="center"/>
            <w:hideMark/>
          </w:tcPr>
          <w:p w14:paraId="39611E9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5DDF4CF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A99605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4912196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2B282462"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39C9BF8"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01_303_0104_1_1_T</w:t>
            </w:r>
          </w:p>
        </w:tc>
        <w:tc>
          <w:tcPr>
            <w:tcW w:w="5670" w:type="dxa"/>
            <w:noWrap/>
            <w:vAlign w:val="center"/>
            <w:hideMark/>
          </w:tcPr>
          <w:p w14:paraId="5A18756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Sunday - TTP</w:t>
            </w:r>
          </w:p>
        </w:tc>
        <w:tc>
          <w:tcPr>
            <w:tcW w:w="2268" w:type="dxa"/>
            <w:noWrap/>
            <w:vAlign w:val="center"/>
            <w:hideMark/>
          </w:tcPr>
          <w:p w14:paraId="775CB11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A02431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3D5199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1433A81"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290FB33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E087BF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01_304_0104_1_1</w:t>
            </w:r>
          </w:p>
        </w:tc>
        <w:tc>
          <w:tcPr>
            <w:tcW w:w="5670" w:type="dxa"/>
            <w:noWrap/>
            <w:vAlign w:val="center"/>
            <w:hideMark/>
          </w:tcPr>
          <w:p w14:paraId="6687E38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Public Holiday</w:t>
            </w:r>
          </w:p>
        </w:tc>
        <w:tc>
          <w:tcPr>
            <w:tcW w:w="2268" w:type="dxa"/>
            <w:noWrap/>
            <w:vAlign w:val="center"/>
            <w:hideMark/>
          </w:tcPr>
          <w:p w14:paraId="0630B27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53B8C2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87D410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833DF7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738EDB3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A5C060C"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01_304_0104_1_1_T</w:t>
            </w:r>
          </w:p>
        </w:tc>
        <w:tc>
          <w:tcPr>
            <w:tcW w:w="5670" w:type="dxa"/>
            <w:noWrap/>
            <w:vAlign w:val="center"/>
            <w:hideMark/>
          </w:tcPr>
          <w:p w14:paraId="1760E0D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Public Holiday - TTP</w:t>
            </w:r>
          </w:p>
        </w:tc>
        <w:tc>
          <w:tcPr>
            <w:tcW w:w="2268" w:type="dxa"/>
            <w:noWrap/>
            <w:vAlign w:val="center"/>
            <w:hideMark/>
          </w:tcPr>
          <w:p w14:paraId="7A9F445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B0DB77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8432B0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73D5FE6F"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637FB03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A7BABCF"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01_305_0104_1_1</w:t>
            </w:r>
          </w:p>
        </w:tc>
        <w:tc>
          <w:tcPr>
            <w:tcW w:w="5670" w:type="dxa"/>
            <w:noWrap/>
            <w:vAlign w:val="center"/>
            <w:hideMark/>
          </w:tcPr>
          <w:p w14:paraId="057B094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Weekday Night</w:t>
            </w:r>
          </w:p>
        </w:tc>
        <w:tc>
          <w:tcPr>
            <w:tcW w:w="2268" w:type="dxa"/>
            <w:noWrap/>
            <w:vAlign w:val="center"/>
            <w:hideMark/>
          </w:tcPr>
          <w:p w14:paraId="5C1FC3E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9AB705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101003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2E71EC3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3AB4812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4988E64"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01_305_0104_1_1_T</w:t>
            </w:r>
          </w:p>
        </w:tc>
        <w:tc>
          <w:tcPr>
            <w:tcW w:w="5670" w:type="dxa"/>
            <w:noWrap/>
            <w:vAlign w:val="center"/>
            <w:hideMark/>
          </w:tcPr>
          <w:p w14:paraId="5B9B6CB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1 - Weekday Night - TTP</w:t>
            </w:r>
          </w:p>
        </w:tc>
        <w:tc>
          <w:tcPr>
            <w:tcW w:w="2268" w:type="dxa"/>
            <w:noWrap/>
            <w:vAlign w:val="center"/>
            <w:hideMark/>
          </w:tcPr>
          <w:p w14:paraId="74A59E6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0BA1EE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F3F21D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4402CE63"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173DD82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9CBC987"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01_400_0104_1_1</w:t>
            </w:r>
          </w:p>
        </w:tc>
        <w:tc>
          <w:tcPr>
            <w:tcW w:w="5670" w:type="dxa"/>
            <w:noWrap/>
            <w:vAlign w:val="center"/>
            <w:hideMark/>
          </w:tcPr>
          <w:p w14:paraId="59FF0C6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Weekday Daytime</w:t>
            </w:r>
          </w:p>
        </w:tc>
        <w:tc>
          <w:tcPr>
            <w:tcW w:w="2268" w:type="dxa"/>
            <w:noWrap/>
            <w:vAlign w:val="center"/>
            <w:hideMark/>
          </w:tcPr>
          <w:p w14:paraId="288B5C0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557450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7FFEE88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712AEFC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0F0A520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A99F376"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01_400_0104_1_1_T</w:t>
            </w:r>
          </w:p>
        </w:tc>
        <w:tc>
          <w:tcPr>
            <w:tcW w:w="5670" w:type="dxa"/>
            <w:noWrap/>
            <w:vAlign w:val="center"/>
            <w:hideMark/>
          </w:tcPr>
          <w:p w14:paraId="3F1DBE8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Weekday Daytime - TTP</w:t>
            </w:r>
          </w:p>
        </w:tc>
        <w:tc>
          <w:tcPr>
            <w:tcW w:w="2268" w:type="dxa"/>
            <w:noWrap/>
            <w:vAlign w:val="center"/>
            <w:hideMark/>
          </w:tcPr>
          <w:p w14:paraId="7323E20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2A38A0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16F2F3B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017C0CF9"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29786FA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9F87D8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01_401_0104_1_1</w:t>
            </w:r>
          </w:p>
        </w:tc>
        <w:tc>
          <w:tcPr>
            <w:tcW w:w="5670" w:type="dxa"/>
            <w:noWrap/>
            <w:vAlign w:val="center"/>
            <w:hideMark/>
          </w:tcPr>
          <w:p w14:paraId="6CF56E5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Weekday Evening</w:t>
            </w:r>
          </w:p>
        </w:tc>
        <w:tc>
          <w:tcPr>
            <w:tcW w:w="2268" w:type="dxa"/>
            <w:noWrap/>
            <w:vAlign w:val="center"/>
            <w:hideMark/>
          </w:tcPr>
          <w:p w14:paraId="1E97C9B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021CD7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BD333B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207451F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18FA981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C5F4E9B"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01_401_0104_1_1_T</w:t>
            </w:r>
          </w:p>
        </w:tc>
        <w:tc>
          <w:tcPr>
            <w:tcW w:w="5670" w:type="dxa"/>
            <w:noWrap/>
            <w:vAlign w:val="center"/>
            <w:hideMark/>
          </w:tcPr>
          <w:p w14:paraId="3F573EF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Weekday Evening - TTP</w:t>
            </w:r>
          </w:p>
        </w:tc>
        <w:tc>
          <w:tcPr>
            <w:tcW w:w="2268" w:type="dxa"/>
            <w:noWrap/>
            <w:vAlign w:val="center"/>
            <w:hideMark/>
          </w:tcPr>
          <w:p w14:paraId="11184FF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CC0B1AF"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76D898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0042AD2F"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6071AC9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0A8ECF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01_402_0104_1_1</w:t>
            </w:r>
          </w:p>
        </w:tc>
        <w:tc>
          <w:tcPr>
            <w:tcW w:w="5670" w:type="dxa"/>
            <w:noWrap/>
            <w:vAlign w:val="center"/>
            <w:hideMark/>
          </w:tcPr>
          <w:p w14:paraId="4B98972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Saturday</w:t>
            </w:r>
          </w:p>
        </w:tc>
        <w:tc>
          <w:tcPr>
            <w:tcW w:w="2268" w:type="dxa"/>
            <w:noWrap/>
            <w:vAlign w:val="center"/>
            <w:hideMark/>
          </w:tcPr>
          <w:p w14:paraId="37ECB9F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FA82FE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4242503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050D0B2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5F46761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3F6D308"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01_402_0104_1_1_T</w:t>
            </w:r>
          </w:p>
        </w:tc>
        <w:tc>
          <w:tcPr>
            <w:tcW w:w="5670" w:type="dxa"/>
            <w:noWrap/>
            <w:vAlign w:val="center"/>
            <w:hideMark/>
          </w:tcPr>
          <w:p w14:paraId="2F0A99E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Saturday - TTP</w:t>
            </w:r>
          </w:p>
        </w:tc>
        <w:tc>
          <w:tcPr>
            <w:tcW w:w="2268" w:type="dxa"/>
            <w:noWrap/>
            <w:vAlign w:val="center"/>
            <w:hideMark/>
          </w:tcPr>
          <w:p w14:paraId="44BEC4A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58BFC8F"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4664E06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700A854"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5E85DE2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D2DD09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01_403_0104_1_1</w:t>
            </w:r>
          </w:p>
        </w:tc>
        <w:tc>
          <w:tcPr>
            <w:tcW w:w="5670" w:type="dxa"/>
            <w:noWrap/>
            <w:vAlign w:val="center"/>
            <w:hideMark/>
          </w:tcPr>
          <w:p w14:paraId="51A8D29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Sunday</w:t>
            </w:r>
          </w:p>
        </w:tc>
        <w:tc>
          <w:tcPr>
            <w:tcW w:w="2268" w:type="dxa"/>
            <w:noWrap/>
            <w:vAlign w:val="center"/>
            <w:hideMark/>
          </w:tcPr>
          <w:p w14:paraId="54A4474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D4FF0E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EDA5E0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A57347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1EC8BF1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0A94FB8"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01_403_0104_1_1_T</w:t>
            </w:r>
          </w:p>
        </w:tc>
        <w:tc>
          <w:tcPr>
            <w:tcW w:w="5670" w:type="dxa"/>
            <w:noWrap/>
            <w:vAlign w:val="center"/>
            <w:hideMark/>
          </w:tcPr>
          <w:p w14:paraId="0A642AD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Sunday - TTP</w:t>
            </w:r>
          </w:p>
        </w:tc>
        <w:tc>
          <w:tcPr>
            <w:tcW w:w="2268" w:type="dxa"/>
            <w:noWrap/>
            <w:vAlign w:val="center"/>
            <w:hideMark/>
          </w:tcPr>
          <w:p w14:paraId="3FCC9AF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76241F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7F8A403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5CEEF8C"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46D5AC4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657276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01_404_0104_1_1</w:t>
            </w:r>
          </w:p>
        </w:tc>
        <w:tc>
          <w:tcPr>
            <w:tcW w:w="5670" w:type="dxa"/>
            <w:noWrap/>
            <w:vAlign w:val="center"/>
            <w:hideMark/>
          </w:tcPr>
          <w:p w14:paraId="28904D2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Public Holiday</w:t>
            </w:r>
          </w:p>
        </w:tc>
        <w:tc>
          <w:tcPr>
            <w:tcW w:w="2268" w:type="dxa"/>
            <w:noWrap/>
            <w:vAlign w:val="center"/>
            <w:hideMark/>
          </w:tcPr>
          <w:p w14:paraId="42ED834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CD1082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A330BE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435C4BD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15816AAF"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E3E01D9"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01_404_0104_1_1_T</w:t>
            </w:r>
          </w:p>
        </w:tc>
        <w:tc>
          <w:tcPr>
            <w:tcW w:w="5670" w:type="dxa"/>
            <w:noWrap/>
            <w:vAlign w:val="center"/>
            <w:hideMark/>
          </w:tcPr>
          <w:p w14:paraId="7BD9993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Public Holiday - TTP</w:t>
            </w:r>
          </w:p>
        </w:tc>
        <w:tc>
          <w:tcPr>
            <w:tcW w:w="2268" w:type="dxa"/>
            <w:noWrap/>
            <w:vAlign w:val="center"/>
            <w:hideMark/>
          </w:tcPr>
          <w:p w14:paraId="65D742A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E249D5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2DB5E86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6A2902A"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5CAE9B4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0E683BB"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01_405_0104_1_1</w:t>
            </w:r>
          </w:p>
        </w:tc>
        <w:tc>
          <w:tcPr>
            <w:tcW w:w="5670" w:type="dxa"/>
            <w:noWrap/>
            <w:vAlign w:val="center"/>
            <w:hideMark/>
          </w:tcPr>
          <w:p w14:paraId="465873B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Weekday Night</w:t>
            </w:r>
          </w:p>
        </w:tc>
        <w:tc>
          <w:tcPr>
            <w:tcW w:w="2268" w:type="dxa"/>
            <w:noWrap/>
            <w:vAlign w:val="center"/>
            <w:hideMark/>
          </w:tcPr>
          <w:p w14:paraId="4A5B80E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36D06D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78AB652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6254723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0A224B7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1887AF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01_405_0104_1_1_T</w:t>
            </w:r>
          </w:p>
        </w:tc>
        <w:tc>
          <w:tcPr>
            <w:tcW w:w="5670" w:type="dxa"/>
            <w:noWrap/>
            <w:vAlign w:val="center"/>
            <w:hideMark/>
          </w:tcPr>
          <w:p w14:paraId="5BE3279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2 - Weekday Night - TTP</w:t>
            </w:r>
          </w:p>
        </w:tc>
        <w:tc>
          <w:tcPr>
            <w:tcW w:w="2268" w:type="dxa"/>
            <w:noWrap/>
            <w:vAlign w:val="center"/>
            <w:hideMark/>
          </w:tcPr>
          <w:p w14:paraId="347259A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1E5D29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08CD389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44018A45"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5B46B30C"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0B6CCC1"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01_500_0104_1_1</w:t>
            </w:r>
          </w:p>
        </w:tc>
        <w:tc>
          <w:tcPr>
            <w:tcW w:w="5670" w:type="dxa"/>
            <w:noWrap/>
            <w:vAlign w:val="center"/>
            <w:hideMark/>
          </w:tcPr>
          <w:p w14:paraId="5FD9F9D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Weekday Daytime</w:t>
            </w:r>
          </w:p>
        </w:tc>
        <w:tc>
          <w:tcPr>
            <w:tcW w:w="2268" w:type="dxa"/>
            <w:noWrap/>
            <w:vAlign w:val="center"/>
            <w:hideMark/>
          </w:tcPr>
          <w:p w14:paraId="4853160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6820C9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3629360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60B519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0BCD7AC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24FCA58"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01_500_0104_1_1_T</w:t>
            </w:r>
          </w:p>
        </w:tc>
        <w:tc>
          <w:tcPr>
            <w:tcW w:w="5670" w:type="dxa"/>
            <w:noWrap/>
            <w:vAlign w:val="center"/>
            <w:hideMark/>
          </w:tcPr>
          <w:p w14:paraId="0A127CE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Weekday Daytime - TTP</w:t>
            </w:r>
          </w:p>
        </w:tc>
        <w:tc>
          <w:tcPr>
            <w:tcW w:w="2268" w:type="dxa"/>
            <w:noWrap/>
            <w:vAlign w:val="center"/>
            <w:hideMark/>
          </w:tcPr>
          <w:p w14:paraId="024E186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90A547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6C577CE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735E82D1"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0E6AE51C"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4EABDB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01_501_0104_1_1</w:t>
            </w:r>
          </w:p>
        </w:tc>
        <w:tc>
          <w:tcPr>
            <w:tcW w:w="5670" w:type="dxa"/>
            <w:noWrap/>
            <w:vAlign w:val="center"/>
            <w:hideMark/>
          </w:tcPr>
          <w:p w14:paraId="1C7DD90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Weekday Evening</w:t>
            </w:r>
          </w:p>
        </w:tc>
        <w:tc>
          <w:tcPr>
            <w:tcW w:w="2268" w:type="dxa"/>
            <w:noWrap/>
            <w:vAlign w:val="center"/>
            <w:hideMark/>
          </w:tcPr>
          <w:p w14:paraId="22FB7B1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4AE1F3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46F120A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2B7DA68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189A046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5E42902"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01_501_0104_1_1_T</w:t>
            </w:r>
          </w:p>
        </w:tc>
        <w:tc>
          <w:tcPr>
            <w:tcW w:w="5670" w:type="dxa"/>
            <w:noWrap/>
            <w:vAlign w:val="center"/>
            <w:hideMark/>
          </w:tcPr>
          <w:p w14:paraId="0D05F04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Weekday Evening - TTP</w:t>
            </w:r>
          </w:p>
        </w:tc>
        <w:tc>
          <w:tcPr>
            <w:tcW w:w="2268" w:type="dxa"/>
            <w:noWrap/>
            <w:vAlign w:val="center"/>
            <w:hideMark/>
          </w:tcPr>
          <w:p w14:paraId="37E03A6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02E1E8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7455B39F"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16D8DCC4"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61D119D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7A6A10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01_502_0104_1_1</w:t>
            </w:r>
          </w:p>
        </w:tc>
        <w:tc>
          <w:tcPr>
            <w:tcW w:w="5670" w:type="dxa"/>
            <w:noWrap/>
            <w:vAlign w:val="center"/>
            <w:hideMark/>
          </w:tcPr>
          <w:p w14:paraId="7E7D692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Saturday</w:t>
            </w:r>
          </w:p>
        </w:tc>
        <w:tc>
          <w:tcPr>
            <w:tcW w:w="2268" w:type="dxa"/>
            <w:noWrap/>
            <w:vAlign w:val="center"/>
            <w:hideMark/>
          </w:tcPr>
          <w:p w14:paraId="2C38F46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0052CC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019460F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345952F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75DC295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DD903F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01_502_0104_1_1_T</w:t>
            </w:r>
          </w:p>
        </w:tc>
        <w:tc>
          <w:tcPr>
            <w:tcW w:w="5670" w:type="dxa"/>
            <w:noWrap/>
            <w:vAlign w:val="center"/>
            <w:hideMark/>
          </w:tcPr>
          <w:p w14:paraId="797AEFF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Saturday - TTP</w:t>
            </w:r>
          </w:p>
        </w:tc>
        <w:tc>
          <w:tcPr>
            <w:tcW w:w="2268" w:type="dxa"/>
            <w:noWrap/>
            <w:vAlign w:val="center"/>
            <w:hideMark/>
          </w:tcPr>
          <w:p w14:paraId="7C5444D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7E11CC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22190AA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35BB84A3"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0CDCBD48"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A2BF848"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01_503_0104_1_1</w:t>
            </w:r>
          </w:p>
        </w:tc>
        <w:tc>
          <w:tcPr>
            <w:tcW w:w="5670" w:type="dxa"/>
            <w:noWrap/>
            <w:vAlign w:val="center"/>
            <w:hideMark/>
          </w:tcPr>
          <w:p w14:paraId="23E0A2D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Sunday</w:t>
            </w:r>
          </w:p>
        </w:tc>
        <w:tc>
          <w:tcPr>
            <w:tcW w:w="2268" w:type="dxa"/>
            <w:noWrap/>
            <w:vAlign w:val="center"/>
            <w:hideMark/>
          </w:tcPr>
          <w:p w14:paraId="7BD322C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6DE96FD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2F73DB8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0AB996D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36B7D2F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B561A59"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01_503_0104_1_1_T</w:t>
            </w:r>
          </w:p>
        </w:tc>
        <w:tc>
          <w:tcPr>
            <w:tcW w:w="5670" w:type="dxa"/>
            <w:noWrap/>
            <w:vAlign w:val="center"/>
            <w:hideMark/>
          </w:tcPr>
          <w:p w14:paraId="013D7BB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Sunday - TTP</w:t>
            </w:r>
          </w:p>
        </w:tc>
        <w:tc>
          <w:tcPr>
            <w:tcW w:w="2268" w:type="dxa"/>
            <w:noWrap/>
            <w:vAlign w:val="center"/>
            <w:hideMark/>
          </w:tcPr>
          <w:p w14:paraId="2EC0A60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FAD2B8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216B19F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4CF107A"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407FF8A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524A66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01_504_0104_1_1</w:t>
            </w:r>
          </w:p>
        </w:tc>
        <w:tc>
          <w:tcPr>
            <w:tcW w:w="5670" w:type="dxa"/>
            <w:noWrap/>
            <w:vAlign w:val="center"/>
            <w:hideMark/>
          </w:tcPr>
          <w:p w14:paraId="2A11AC9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Public Holiday</w:t>
            </w:r>
          </w:p>
        </w:tc>
        <w:tc>
          <w:tcPr>
            <w:tcW w:w="2268" w:type="dxa"/>
            <w:noWrap/>
            <w:vAlign w:val="center"/>
            <w:hideMark/>
          </w:tcPr>
          <w:p w14:paraId="0316120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0BDE70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10553E5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145093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0868BD5F"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872F105"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01_504_0104_1_1_T</w:t>
            </w:r>
          </w:p>
        </w:tc>
        <w:tc>
          <w:tcPr>
            <w:tcW w:w="5670" w:type="dxa"/>
            <w:noWrap/>
            <w:vAlign w:val="center"/>
            <w:hideMark/>
          </w:tcPr>
          <w:p w14:paraId="3C94F1D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Public Holiday - TTP</w:t>
            </w:r>
          </w:p>
        </w:tc>
        <w:tc>
          <w:tcPr>
            <w:tcW w:w="2268" w:type="dxa"/>
            <w:noWrap/>
            <w:vAlign w:val="center"/>
            <w:hideMark/>
          </w:tcPr>
          <w:p w14:paraId="390E47E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3E851D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32995DEF"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40B55ACA"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6D5FED7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5358BA7"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01_505_0104_1_1</w:t>
            </w:r>
          </w:p>
        </w:tc>
        <w:tc>
          <w:tcPr>
            <w:tcW w:w="5670" w:type="dxa"/>
            <w:noWrap/>
            <w:vAlign w:val="center"/>
            <w:hideMark/>
          </w:tcPr>
          <w:p w14:paraId="623B4A9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Weekday Night</w:t>
            </w:r>
          </w:p>
        </w:tc>
        <w:tc>
          <w:tcPr>
            <w:tcW w:w="2268" w:type="dxa"/>
            <w:noWrap/>
            <w:vAlign w:val="center"/>
            <w:hideMark/>
          </w:tcPr>
          <w:p w14:paraId="17A9D3F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69361C7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5BEE409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5E2FDDE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0E4AF11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42590DA"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01_505_0104_1_1_T</w:t>
            </w:r>
          </w:p>
        </w:tc>
        <w:tc>
          <w:tcPr>
            <w:tcW w:w="5670" w:type="dxa"/>
            <w:noWrap/>
            <w:vAlign w:val="center"/>
            <w:hideMark/>
          </w:tcPr>
          <w:p w14:paraId="0032ABA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Self-Care Activities - Level 3 - Weekday Night - TTP</w:t>
            </w:r>
          </w:p>
        </w:tc>
        <w:tc>
          <w:tcPr>
            <w:tcW w:w="2268" w:type="dxa"/>
            <w:noWrap/>
            <w:vAlign w:val="center"/>
            <w:hideMark/>
          </w:tcPr>
          <w:p w14:paraId="32F0D35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BE8224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73788B3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72825D87"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5B935A0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C0ED7B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01_790_0106_8_3</w:t>
            </w:r>
          </w:p>
        </w:tc>
        <w:tc>
          <w:tcPr>
            <w:tcW w:w="5670" w:type="dxa"/>
            <w:noWrap/>
            <w:vAlign w:val="center"/>
            <w:hideMark/>
          </w:tcPr>
          <w:p w14:paraId="1077613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Level 1: Support Connection</w:t>
            </w:r>
          </w:p>
        </w:tc>
        <w:tc>
          <w:tcPr>
            <w:tcW w:w="2268" w:type="dxa"/>
            <w:noWrap/>
            <w:vAlign w:val="center"/>
            <w:hideMark/>
          </w:tcPr>
          <w:p w14:paraId="4ED8BEF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6C22D09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0EA9EA6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7935E3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2C4426F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EF1686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01_801_0115_1_1</w:t>
            </w:r>
          </w:p>
        </w:tc>
        <w:tc>
          <w:tcPr>
            <w:tcW w:w="5670" w:type="dxa"/>
            <w:noWrap/>
            <w:vAlign w:val="center"/>
            <w:hideMark/>
          </w:tcPr>
          <w:p w14:paraId="4E400C0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Standard - Weekday Daytime</w:t>
            </w:r>
          </w:p>
        </w:tc>
        <w:tc>
          <w:tcPr>
            <w:tcW w:w="2268" w:type="dxa"/>
            <w:noWrap/>
            <w:vAlign w:val="center"/>
            <w:hideMark/>
          </w:tcPr>
          <w:p w14:paraId="0A1AD1C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1EF43B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306B88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03E2BB9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48C20AC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D979CA9"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01_802_0115_1_1</w:t>
            </w:r>
          </w:p>
        </w:tc>
        <w:tc>
          <w:tcPr>
            <w:tcW w:w="5670" w:type="dxa"/>
            <w:noWrap/>
            <w:vAlign w:val="center"/>
            <w:hideMark/>
          </w:tcPr>
          <w:p w14:paraId="4C61CB7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Standard - Weekday Evening</w:t>
            </w:r>
          </w:p>
        </w:tc>
        <w:tc>
          <w:tcPr>
            <w:tcW w:w="2268" w:type="dxa"/>
            <w:noWrap/>
            <w:vAlign w:val="center"/>
            <w:hideMark/>
          </w:tcPr>
          <w:p w14:paraId="5EC6BC4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9314D1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367B47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7C8300C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61744C4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723E2D5"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01_803_0115_1_1</w:t>
            </w:r>
          </w:p>
        </w:tc>
        <w:tc>
          <w:tcPr>
            <w:tcW w:w="5670" w:type="dxa"/>
            <w:noWrap/>
            <w:vAlign w:val="center"/>
            <w:hideMark/>
          </w:tcPr>
          <w:p w14:paraId="16C1F93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Standard - Weekday Night</w:t>
            </w:r>
          </w:p>
        </w:tc>
        <w:tc>
          <w:tcPr>
            <w:tcW w:w="2268" w:type="dxa"/>
            <w:noWrap/>
            <w:vAlign w:val="center"/>
            <w:hideMark/>
          </w:tcPr>
          <w:p w14:paraId="2A82AC2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212AFE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1F30E0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746F008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7251509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59E345A"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01_804_0115_1_1</w:t>
            </w:r>
          </w:p>
        </w:tc>
        <w:tc>
          <w:tcPr>
            <w:tcW w:w="5670" w:type="dxa"/>
            <w:noWrap/>
            <w:vAlign w:val="center"/>
            <w:hideMark/>
          </w:tcPr>
          <w:p w14:paraId="614B394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Standard - Saturday</w:t>
            </w:r>
          </w:p>
        </w:tc>
        <w:tc>
          <w:tcPr>
            <w:tcW w:w="2268" w:type="dxa"/>
            <w:noWrap/>
            <w:vAlign w:val="center"/>
            <w:hideMark/>
          </w:tcPr>
          <w:p w14:paraId="1DE08DA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AA69F4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53A14D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03DEA4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00A15FB2"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48D0CB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01_805_0115_1_1</w:t>
            </w:r>
          </w:p>
        </w:tc>
        <w:tc>
          <w:tcPr>
            <w:tcW w:w="5670" w:type="dxa"/>
            <w:noWrap/>
            <w:vAlign w:val="center"/>
            <w:hideMark/>
          </w:tcPr>
          <w:p w14:paraId="222E99E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Standard - Sunday</w:t>
            </w:r>
          </w:p>
        </w:tc>
        <w:tc>
          <w:tcPr>
            <w:tcW w:w="2268" w:type="dxa"/>
            <w:noWrap/>
            <w:vAlign w:val="center"/>
            <w:hideMark/>
          </w:tcPr>
          <w:p w14:paraId="70D24A2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E74300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A62953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13034CA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7A07149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9E0D0C8"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01_806_0115_1_1</w:t>
            </w:r>
          </w:p>
        </w:tc>
        <w:tc>
          <w:tcPr>
            <w:tcW w:w="5670" w:type="dxa"/>
            <w:noWrap/>
            <w:vAlign w:val="center"/>
            <w:hideMark/>
          </w:tcPr>
          <w:p w14:paraId="50B66D6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Standard - Public Holiday</w:t>
            </w:r>
          </w:p>
        </w:tc>
        <w:tc>
          <w:tcPr>
            <w:tcW w:w="2268" w:type="dxa"/>
            <w:noWrap/>
            <w:vAlign w:val="center"/>
            <w:hideMark/>
          </w:tcPr>
          <w:p w14:paraId="01912C6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960D5D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2F866F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E929FB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32C3A9F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CADB327"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01_811_0115_1_1</w:t>
            </w:r>
          </w:p>
        </w:tc>
        <w:tc>
          <w:tcPr>
            <w:tcW w:w="5670" w:type="dxa"/>
            <w:noWrap/>
            <w:vAlign w:val="center"/>
            <w:hideMark/>
          </w:tcPr>
          <w:p w14:paraId="2EBED85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High Intensity - Weekday Daytime</w:t>
            </w:r>
          </w:p>
        </w:tc>
        <w:tc>
          <w:tcPr>
            <w:tcW w:w="2268" w:type="dxa"/>
            <w:noWrap/>
            <w:vAlign w:val="center"/>
            <w:hideMark/>
          </w:tcPr>
          <w:p w14:paraId="6A7DDD6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9A40F9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25F7C74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DA51FD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53F8CF4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75D26C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01_812_0115_1_1</w:t>
            </w:r>
          </w:p>
        </w:tc>
        <w:tc>
          <w:tcPr>
            <w:tcW w:w="5670" w:type="dxa"/>
            <w:noWrap/>
            <w:vAlign w:val="center"/>
            <w:hideMark/>
          </w:tcPr>
          <w:p w14:paraId="6BA662C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High Intensity - Weekday Evening</w:t>
            </w:r>
          </w:p>
        </w:tc>
        <w:tc>
          <w:tcPr>
            <w:tcW w:w="2268" w:type="dxa"/>
            <w:noWrap/>
            <w:vAlign w:val="center"/>
            <w:hideMark/>
          </w:tcPr>
          <w:p w14:paraId="69288A7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5354E22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7A74D3B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6EEB4D1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3D70D3B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B33EC79"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01_813_0115_1_1</w:t>
            </w:r>
          </w:p>
        </w:tc>
        <w:tc>
          <w:tcPr>
            <w:tcW w:w="5670" w:type="dxa"/>
            <w:noWrap/>
            <w:vAlign w:val="center"/>
            <w:hideMark/>
          </w:tcPr>
          <w:p w14:paraId="62039B1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High Intensity - Weekday Night</w:t>
            </w:r>
          </w:p>
        </w:tc>
        <w:tc>
          <w:tcPr>
            <w:tcW w:w="2268" w:type="dxa"/>
            <w:noWrap/>
            <w:vAlign w:val="center"/>
            <w:hideMark/>
          </w:tcPr>
          <w:p w14:paraId="3F61F05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B4D0BE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45CF34E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392E39E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3960AFFF"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C76400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01_814_0115_1_1</w:t>
            </w:r>
          </w:p>
        </w:tc>
        <w:tc>
          <w:tcPr>
            <w:tcW w:w="5670" w:type="dxa"/>
            <w:noWrap/>
            <w:vAlign w:val="center"/>
            <w:hideMark/>
          </w:tcPr>
          <w:p w14:paraId="4F827F9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High Intensity - Saturday</w:t>
            </w:r>
          </w:p>
        </w:tc>
        <w:tc>
          <w:tcPr>
            <w:tcW w:w="2268" w:type="dxa"/>
            <w:noWrap/>
            <w:vAlign w:val="center"/>
            <w:hideMark/>
          </w:tcPr>
          <w:p w14:paraId="5C65AF2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3FD493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6EE282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9875F5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2270F72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D4C8FF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01_815_0115_1_1</w:t>
            </w:r>
          </w:p>
        </w:tc>
        <w:tc>
          <w:tcPr>
            <w:tcW w:w="5670" w:type="dxa"/>
            <w:noWrap/>
            <w:vAlign w:val="center"/>
            <w:hideMark/>
          </w:tcPr>
          <w:p w14:paraId="0D3CF29F"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High Intensity - Sunday</w:t>
            </w:r>
          </w:p>
        </w:tc>
        <w:tc>
          <w:tcPr>
            <w:tcW w:w="2268" w:type="dxa"/>
            <w:noWrap/>
            <w:vAlign w:val="center"/>
            <w:hideMark/>
          </w:tcPr>
          <w:p w14:paraId="76346E1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5470484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72911F5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446CF14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16926AB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2C65C25"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01_816_0115_1_1</w:t>
            </w:r>
          </w:p>
        </w:tc>
        <w:tc>
          <w:tcPr>
            <w:tcW w:w="5670" w:type="dxa"/>
            <w:noWrap/>
            <w:vAlign w:val="center"/>
            <w:hideMark/>
          </w:tcPr>
          <w:p w14:paraId="6EC9F47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High Intensity - Public Holiday</w:t>
            </w:r>
          </w:p>
        </w:tc>
        <w:tc>
          <w:tcPr>
            <w:tcW w:w="2268" w:type="dxa"/>
            <w:noWrap/>
            <w:vAlign w:val="center"/>
            <w:hideMark/>
          </w:tcPr>
          <w:p w14:paraId="54B58C0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53CA6F0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1811D14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7E9789E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043AF90F"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A13C0E0"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01_832_0115_1_1</w:t>
            </w:r>
          </w:p>
        </w:tc>
        <w:tc>
          <w:tcPr>
            <w:tcW w:w="5670" w:type="dxa"/>
            <w:noWrap/>
            <w:vAlign w:val="center"/>
            <w:hideMark/>
          </w:tcPr>
          <w:p w14:paraId="32DB0A2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in Supported Independent Living - Night-Time Sleepover</w:t>
            </w:r>
          </w:p>
        </w:tc>
        <w:tc>
          <w:tcPr>
            <w:tcW w:w="2268" w:type="dxa"/>
            <w:noWrap/>
            <w:vAlign w:val="center"/>
            <w:hideMark/>
          </w:tcPr>
          <w:p w14:paraId="182207B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C8DAC4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216E24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2F2B5F3" w14:textId="77777777" w:rsidR="00AE0D61" w:rsidRPr="00AE0D61" w:rsidRDefault="00D54BD6"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2</w:t>
            </w:r>
          </w:p>
        </w:tc>
      </w:tr>
      <w:tr w:rsidR="00AE0D61" w:rsidRPr="00AE0D61" w14:paraId="11801A4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5715664"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04_049_0104_1_1</w:t>
            </w:r>
          </w:p>
        </w:tc>
        <w:tc>
          <w:tcPr>
            <w:tcW w:w="5670" w:type="dxa"/>
            <w:noWrap/>
            <w:vAlign w:val="center"/>
            <w:hideMark/>
          </w:tcPr>
          <w:p w14:paraId="480C1F0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Establishment Fee For Personal Care/Participation</w:t>
            </w:r>
          </w:p>
        </w:tc>
        <w:tc>
          <w:tcPr>
            <w:tcW w:w="2268" w:type="dxa"/>
            <w:noWrap/>
            <w:vAlign w:val="center"/>
            <w:hideMark/>
          </w:tcPr>
          <w:p w14:paraId="140F548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B2B1BC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FD5A5D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2480F4F" w14:textId="77777777" w:rsidR="00AE0D61" w:rsidRPr="00AE0D61" w:rsidRDefault="00D54BD6"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3</w:t>
            </w:r>
          </w:p>
        </w:tc>
      </w:tr>
      <w:tr w:rsidR="00AE0D61" w:rsidRPr="00AE0D61" w14:paraId="50067CB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A7BC6D6"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04_049_0125_1_1</w:t>
            </w:r>
          </w:p>
        </w:tc>
        <w:tc>
          <w:tcPr>
            <w:tcW w:w="5670" w:type="dxa"/>
            <w:noWrap/>
            <w:vAlign w:val="center"/>
            <w:hideMark/>
          </w:tcPr>
          <w:p w14:paraId="79880BC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Establishment Fee For Personal Care/Participation</w:t>
            </w:r>
          </w:p>
        </w:tc>
        <w:tc>
          <w:tcPr>
            <w:tcW w:w="2268" w:type="dxa"/>
            <w:noWrap/>
            <w:vAlign w:val="center"/>
            <w:hideMark/>
          </w:tcPr>
          <w:p w14:paraId="7338E43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898668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9A3153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40712789" w14:textId="77777777" w:rsidR="00AE0D61" w:rsidRPr="00AE0D61" w:rsidRDefault="00D54BD6"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3</w:t>
            </w:r>
          </w:p>
        </w:tc>
      </w:tr>
      <w:tr w:rsidR="00AE0D61" w:rsidRPr="00AE0D61" w14:paraId="7F29108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3EBA9C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04_049_0133_5_1</w:t>
            </w:r>
          </w:p>
        </w:tc>
        <w:tc>
          <w:tcPr>
            <w:tcW w:w="5670" w:type="dxa"/>
            <w:noWrap/>
            <w:vAlign w:val="center"/>
            <w:hideMark/>
          </w:tcPr>
          <w:p w14:paraId="22DC6E8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Establishment Fee For Personal Care/Participation</w:t>
            </w:r>
          </w:p>
        </w:tc>
        <w:tc>
          <w:tcPr>
            <w:tcW w:w="2268" w:type="dxa"/>
            <w:noWrap/>
            <w:vAlign w:val="center"/>
            <w:hideMark/>
          </w:tcPr>
          <w:p w14:paraId="7D896FA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C8D83D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C07495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E95429B" w14:textId="77777777" w:rsidR="00AE0D61" w:rsidRPr="00AE0D61" w:rsidRDefault="00D54BD6"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3</w:t>
            </w:r>
          </w:p>
        </w:tc>
      </w:tr>
      <w:tr w:rsidR="00AE0D61" w:rsidRPr="00AE0D61" w14:paraId="0F6E33E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56C9556"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04_049_0136_1_1</w:t>
            </w:r>
          </w:p>
        </w:tc>
        <w:tc>
          <w:tcPr>
            <w:tcW w:w="5670" w:type="dxa"/>
            <w:noWrap/>
            <w:vAlign w:val="center"/>
            <w:hideMark/>
          </w:tcPr>
          <w:p w14:paraId="11A9F35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Establishment Fee For Personal Care/Participation</w:t>
            </w:r>
          </w:p>
        </w:tc>
        <w:tc>
          <w:tcPr>
            <w:tcW w:w="2268" w:type="dxa"/>
            <w:noWrap/>
            <w:vAlign w:val="center"/>
            <w:hideMark/>
          </w:tcPr>
          <w:p w14:paraId="3FE9F89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DF1E55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3F6F39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03EBFDA4" w14:textId="77777777" w:rsidR="00AE0D61" w:rsidRPr="00AE0D61" w:rsidRDefault="00D54BD6"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3</w:t>
            </w:r>
          </w:p>
        </w:tc>
      </w:tr>
      <w:tr w:rsidR="00AE0D61" w:rsidRPr="00AE0D61" w14:paraId="57EDE3A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1C8F42A"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04_102_0125_6_1</w:t>
            </w:r>
          </w:p>
        </w:tc>
        <w:tc>
          <w:tcPr>
            <w:tcW w:w="5670" w:type="dxa"/>
            <w:noWrap/>
            <w:vAlign w:val="center"/>
            <w:hideMark/>
          </w:tcPr>
          <w:p w14:paraId="654BB64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Standard - Public Holiday</w:t>
            </w:r>
          </w:p>
        </w:tc>
        <w:tc>
          <w:tcPr>
            <w:tcW w:w="2268" w:type="dxa"/>
            <w:noWrap/>
            <w:vAlign w:val="center"/>
            <w:hideMark/>
          </w:tcPr>
          <w:p w14:paraId="249D163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96A13F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58C0E3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5909617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79C1780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C4294EB"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04_102_0125_6_1_T</w:t>
            </w:r>
          </w:p>
        </w:tc>
        <w:tc>
          <w:tcPr>
            <w:tcW w:w="5670" w:type="dxa"/>
            <w:noWrap/>
            <w:vAlign w:val="center"/>
            <w:hideMark/>
          </w:tcPr>
          <w:p w14:paraId="0157D7C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Public Holiday - TTP</w:t>
            </w:r>
          </w:p>
        </w:tc>
        <w:tc>
          <w:tcPr>
            <w:tcW w:w="2268" w:type="dxa"/>
            <w:noWrap/>
            <w:vAlign w:val="center"/>
            <w:hideMark/>
          </w:tcPr>
          <w:p w14:paraId="21FD05E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2D7E28F"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F1B480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44A7F07B"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28E268B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E26CF3C"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04_102_0136_6_1</w:t>
            </w:r>
          </w:p>
        </w:tc>
        <w:tc>
          <w:tcPr>
            <w:tcW w:w="5670" w:type="dxa"/>
            <w:noWrap/>
            <w:vAlign w:val="center"/>
            <w:hideMark/>
          </w:tcPr>
          <w:p w14:paraId="01E8DBE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Weekday Daytime</w:t>
            </w:r>
          </w:p>
        </w:tc>
        <w:tc>
          <w:tcPr>
            <w:tcW w:w="2268" w:type="dxa"/>
            <w:noWrap/>
            <w:vAlign w:val="center"/>
            <w:hideMark/>
          </w:tcPr>
          <w:p w14:paraId="5D48319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5A3221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E5F614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C2314D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4B3F55B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0D85009"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04_102_0136_6_1_T</w:t>
            </w:r>
          </w:p>
        </w:tc>
        <w:tc>
          <w:tcPr>
            <w:tcW w:w="5670" w:type="dxa"/>
            <w:noWrap/>
            <w:vAlign w:val="center"/>
            <w:hideMark/>
          </w:tcPr>
          <w:p w14:paraId="5583200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Weekday Daytime - TTP</w:t>
            </w:r>
          </w:p>
        </w:tc>
        <w:tc>
          <w:tcPr>
            <w:tcW w:w="2268" w:type="dxa"/>
            <w:noWrap/>
            <w:vAlign w:val="center"/>
            <w:hideMark/>
          </w:tcPr>
          <w:p w14:paraId="2271175F"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79A550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6BCCC4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3F4A3DE"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3632CA6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7C80DB1"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04_103_0125_6_1</w:t>
            </w:r>
          </w:p>
        </w:tc>
        <w:tc>
          <w:tcPr>
            <w:tcW w:w="5670" w:type="dxa"/>
            <w:noWrap/>
            <w:vAlign w:val="center"/>
            <w:hideMark/>
          </w:tcPr>
          <w:p w14:paraId="30C232B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Standard - Weekday Evening</w:t>
            </w:r>
          </w:p>
        </w:tc>
        <w:tc>
          <w:tcPr>
            <w:tcW w:w="2268" w:type="dxa"/>
            <w:noWrap/>
            <w:vAlign w:val="center"/>
            <w:hideMark/>
          </w:tcPr>
          <w:p w14:paraId="251F7FA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470EAD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AEEAE7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71A731E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529C5E2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58CB181"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04_103_0125_6_1_T</w:t>
            </w:r>
          </w:p>
        </w:tc>
        <w:tc>
          <w:tcPr>
            <w:tcW w:w="5670" w:type="dxa"/>
            <w:noWrap/>
            <w:vAlign w:val="center"/>
            <w:hideMark/>
          </w:tcPr>
          <w:p w14:paraId="1182900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Standard - Weekday Evening - TTP</w:t>
            </w:r>
          </w:p>
        </w:tc>
        <w:tc>
          <w:tcPr>
            <w:tcW w:w="2268" w:type="dxa"/>
            <w:noWrap/>
            <w:vAlign w:val="center"/>
            <w:hideMark/>
          </w:tcPr>
          <w:p w14:paraId="58DB770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671A99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1832D1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2064B5BA"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571B502C"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3D53C1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04_103_0136_6_1</w:t>
            </w:r>
          </w:p>
        </w:tc>
        <w:tc>
          <w:tcPr>
            <w:tcW w:w="5670" w:type="dxa"/>
            <w:noWrap/>
            <w:vAlign w:val="center"/>
            <w:hideMark/>
          </w:tcPr>
          <w:p w14:paraId="366E79B9"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Weekday Evening</w:t>
            </w:r>
          </w:p>
        </w:tc>
        <w:tc>
          <w:tcPr>
            <w:tcW w:w="2268" w:type="dxa"/>
            <w:noWrap/>
            <w:vAlign w:val="center"/>
            <w:hideMark/>
          </w:tcPr>
          <w:p w14:paraId="4740795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F7C9F6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AFB27B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502FDC1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541B5EE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DDF7E7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04_103_0136_6_1_T</w:t>
            </w:r>
          </w:p>
        </w:tc>
        <w:tc>
          <w:tcPr>
            <w:tcW w:w="5670" w:type="dxa"/>
            <w:noWrap/>
            <w:vAlign w:val="center"/>
            <w:hideMark/>
          </w:tcPr>
          <w:p w14:paraId="1202F32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Weekday Evening - TTP</w:t>
            </w:r>
          </w:p>
        </w:tc>
        <w:tc>
          <w:tcPr>
            <w:tcW w:w="2268" w:type="dxa"/>
            <w:noWrap/>
            <w:vAlign w:val="center"/>
            <w:hideMark/>
          </w:tcPr>
          <w:p w14:paraId="1636A57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976839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2A3555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2F0E568E"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50B6C9C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9148B2D"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04_104_0125_6_1</w:t>
            </w:r>
          </w:p>
        </w:tc>
        <w:tc>
          <w:tcPr>
            <w:tcW w:w="5670" w:type="dxa"/>
            <w:noWrap/>
            <w:vAlign w:val="center"/>
            <w:hideMark/>
          </w:tcPr>
          <w:p w14:paraId="642C0D3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Weekday Daytime</w:t>
            </w:r>
          </w:p>
        </w:tc>
        <w:tc>
          <w:tcPr>
            <w:tcW w:w="2268" w:type="dxa"/>
            <w:noWrap/>
            <w:vAlign w:val="center"/>
            <w:hideMark/>
          </w:tcPr>
          <w:p w14:paraId="09040F5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BCC2E1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311849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217A8E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AE0D61" w:rsidRPr="00AE0D61" w14:paraId="5C00D81F"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F66E149"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04_104_0125_6_1_T</w:t>
            </w:r>
          </w:p>
        </w:tc>
        <w:tc>
          <w:tcPr>
            <w:tcW w:w="5670" w:type="dxa"/>
            <w:noWrap/>
            <w:vAlign w:val="center"/>
            <w:hideMark/>
          </w:tcPr>
          <w:p w14:paraId="78DD5DC5"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Weekday Daytime - TTP</w:t>
            </w:r>
          </w:p>
        </w:tc>
        <w:tc>
          <w:tcPr>
            <w:tcW w:w="2268" w:type="dxa"/>
            <w:noWrap/>
            <w:vAlign w:val="center"/>
            <w:hideMark/>
          </w:tcPr>
          <w:p w14:paraId="5F634DD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FAF2ED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EA5BFB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7B9550E"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7E55868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76FF587"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04_104_0136_6_1</w:t>
            </w:r>
          </w:p>
        </w:tc>
        <w:tc>
          <w:tcPr>
            <w:tcW w:w="5670" w:type="dxa"/>
            <w:noWrap/>
            <w:vAlign w:val="center"/>
            <w:hideMark/>
          </w:tcPr>
          <w:p w14:paraId="0D2B14D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Saturday</w:t>
            </w:r>
          </w:p>
        </w:tc>
        <w:tc>
          <w:tcPr>
            <w:tcW w:w="2268" w:type="dxa"/>
            <w:noWrap/>
            <w:vAlign w:val="center"/>
            <w:hideMark/>
          </w:tcPr>
          <w:p w14:paraId="48CB129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194CAD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436D62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36C3530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3F75080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2174928"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04_104_0136_6_1_T</w:t>
            </w:r>
          </w:p>
        </w:tc>
        <w:tc>
          <w:tcPr>
            <w:tcW w:w="5670" w:type="dxa"/>
            <w:noWrap/>
            <w:vAlign w:val="center"/>
            <w:hideMark/>
          </w:tcPr>
          <w:p w14:paraId="425E421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Saturday - TTP</w:t>
            </w:r>
          </w:p>
        </w:tc>
        <w:tc>
          <w:tcPr>
            <w:tcW w:w="2268" w:type="dxa"/>
            <w:noWrap/>
            <w:vAlign w:val="center"/>
            <w:hideMark/>
          </w:tcPr>
          <w:p w14:paraId="351A864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59D6F4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3C23CA7"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1D9D87F2"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5DDDE4D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7C11E4E"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04_105_0125_6_1</w:t>
            </w:r>
          </w:p>
        </w:tc>
        <w:tc>
          <w:tcPr>
            <w:tcW w:w="5670" w:type="dxa"/>
            <w:noWrap/>
            <w:vAlign w:val="center"/>
            <w:hideMark/>
          </w:tcPr>
          <w:p w14:paraId="16B4473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Standard - Saturday</w:t>
            </w:r>
          </w:p>
        </w:tc>
        <w:tc>
          <w:tcPr>
            <w:tcW w:w="2268" w:type="dxa"/>
            <w:noWrap/>
            <w:vAlign w:val="center"/>
            <w:hideMark/>
          </w:tcPr>
          <w:p w14:paraId="1D1BE6C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5270970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45E3591"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D39CF9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18DF42B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4A0F83B"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04_105_0125_6_1_T</w:t>
            </w:r>
          </w:p>
        </w:tc>
        <w:tc>
          <w:tcPr>
            <w:tcW w:w="5670" w:type="dxa"/>
            <w:noWrap/>
            <w:vAlign w:val="center"/>
            <w:hideMark/>
          </w:tcPr>
          <w:p w14:paraId="4E5FA70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Standard - Saturday - TTP</w:t>
            </w:r>
          </w:p>
        </w:tc>
        <w:tc>
          <w:tcPr>
            <w:tcW w:w="2268" w:type="dxa"/>
            <w:noWrap/>
            <w:vAlign w:val="center"/>
            <w:hideMark/>
          </w:tcPr>
          <w:p w14:paraId="4697AF34"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4293AC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CC1AD4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D225337"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12D242A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80F493C"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04_105_0136_6_1</w:t>
            </w:r>
          </w:p>
        </w:tc>
        <w:tc>
          <w:tcPr>
            <w:tcW w:w="5670" w:type="dxa"/>
            <w:noWrap/>
            <w:vAlign w:val="center"/>
            <w:hideMark/>
          </w:tcPr>
          <w:p w14:paraId="0D796C1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Sunday</w:t>
            </w:r>
          </w:p>
        </w:tc>
        <w:tc>
          <w:tcPr>
            <w:tcW w:w="2268" w:type="dxa"/>
            <w:noWrap/>
            <w:vAlign w:val="center"/>
            <w:hideMark/>
          </w:tcPr>
          <w:p w14:paraId="0633D04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CC8D55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FACEC8F"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7FBD2C8"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10A5668F"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75323FC"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04_105_0136_6_1_T</w:t>
            </w:r>
          </w:p>
        </w:tc>
        <w:tc>
          <w:tcPr>
            <w:tcW w:w="5670" w:type="dxa"/>
            <w:noWrap/>
            <w:vAlign w:val="center"/>
            <w:hideMark/>
          </w:tcPr>
          <w:p w14:paraId="3B9839F0"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Sunday - TTP</w:t>
            </w:r>
          </w:p>
        </w:tc>
        <w:tc>
          <w:tcPr>
            <w:tcW w:w="2268" w:type="dxa"/>
            <w:noWrap/>
            <w:vAlign w:val="center"/>
            <w:hideMark/>
          </w:tcPr>
          <w:p w14:paraId="59F3794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C80E23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772A1F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3BC0F57"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38812D8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45C296F"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04_106_0125_6_1</w:t>
            </w:r>
          </w:p>
        </w:tc>
        <w:tc>
          <w:tcPr>
            <w:tcW w:w="5670" w:type="dxa"/>
            <w:noWrap/>
            <w:vAlign w:val="center"/>
            <w:hideMark/>
          </w:tcPr>
          <w:p w14:paraId="4EAE449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Standard - Sunday</w:t>
            </w:r>
          </w:p>
        </w:tc>
        <w:tc>
          <w:tcPr>
            <w:tcW w:w="2268" w:type="dxa"/>
            <w:noWrap/>
            <w:vAlign w:val="center"/>
            <w:hideMark/>
          </w:tcPr>
          <w:p w14:paraId="0E8B2B35"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C054083"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088942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2A9006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187EA04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EBCAA80"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04_106_0125_6_1_T</w:t>
            </w:r>
          </w:p>
        </w:tc>
        <w:tc>
          <w:tcPr>
            <w:tcW w:w="5670" w:type="dxa"/>
            <w:noWrap/>
            <w:vAlign w:val="center"/>
            <w:hideMark/>
          </w:tcPr>
          <w:p w14:paraId="36E5C02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Standard - Sunday - TTP</w:t>
            </w:r>
          </w:p>
        </w:tc>
        <w:tc>
          <w:tcPr>
            <w:tcW w:w="2268" w:type="dxa"/>
            <w:noWrap/>
            <w:vAlign w:val="center"/>
            <w:hideMark/>
          </w:tcPr>
          <w:p w14:paraId="27094ED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B23650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7E88BB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F45168A"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291CEA5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CD765E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04_106_0136_6_1</w:t>
            </w:r>
          </w:p>
        </w:tc>
        <w:tc>
          <w:tcPr>
            <w:tcW w:w="5670" w:type="dxa"/>
            <w:noWrap/>
            <w:vAlign w:val="center"/>
            <w:hideMark/>
          </w:tcPr>
          <w:p w14:paraId="7E6C81B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Public Holiday</w:t>
            </w:r>
          </w:p>
        </w:tc>
        <w:tc>
          <w:tcPr>
            <w:tcW w:w="2268" w:type="dxa"/>
            <w:noWrap/>
            <w:vAlign w:val="center"/>
            <w:hideMark/>
          </w:tcPr>
          <w:p w14:paraId="23BA2C6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846C8F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E99234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23EBD37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AE0D61" w:rsidRPr="00AE0D61" w14:paraId="250091B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5576246"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04_106_0136_6_1_T</w:t>
            </w:r>
          </w:p>
        </w:tc>
        <w:tc>
          <w:tcPr>
            <w:tcW w:w="5670" w:type="dxa"/>
            <w:noWrap/>
            <w:vAlign w:val="center"/>
            <w:hideMark/>
          </w:tcPr>
          <w:p w14:paraId="146200A2"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Standard - Public Holiday - TTP</w:t>
            </w:r>
          </w:p>
        </w:tc>
        <w:tc>
          <w:tcPr>
            <w:tcW w:w="2268" w:type="dxa"/>
            <w:noWrap/>
            <w:vAlign w:val="center"/>
            <w:hideMark/>
          </w:tcPr>
          <w:p w14:paraId="0EBEFB3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FB8B8A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C90138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E4981AD" w14:textId="77777777" w:rsidR="00AE0D61" w:rsidRPr="00AE0D61" w:rsidRDefault="00093FC9"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AE0D61" w:rsidRPr="00AE0D61" w14:paraId="3ECECD4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1E287A6"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04_111_0136_6_1</w:t>
            </w:r>
          </w:p>
        </w:tc>
        <w:tc>
          <w:tcPr>
            <w:tcW w:w="5670" w:type="dxa"/>
            <w:noWrap/>
            <w:vAlign w:val="center"/>
            <w:hideMark/>
          </w:tcPr>
          <w:p w14:paraId="0A7ABC4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Weekday Daytime</w:t>
            </w:r>
          </w:p>
        </w:tc>
        <w:tc>
          <w:tcPr>
            <w:tcW w:w="2268" w:type="dxa"/>
            <w:noWrap/>
            <w:vAlign w:val="center"/>
            <w:hideMark/>
          </w:tcPr>
          <w:p w14:paraId="2196BD60"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EEBD8D4"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8EA056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4DDDF5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AE0D61" w:rsidRPr="00AE0D61" w14:paraId="68E5BB0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EA6C6A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04_111_0136_6_1_T</w:t>
            </w:r>
          </w:p>
        </w:tc>
        <w:tc>
          <w:tcPr>
            <w:tcW w:w="5670" w:type="dxa"/>
            <w:noWrap/>
            <w:vAlign w:val="center"/>
            <w:hideMark/>
          </w:tcPr>
          <w:p w14:paraId="7F1F0F8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Weekday Daytime - TTP</w:t>
            </w:r>
          </w:p>
        </w:tc>
        <w:tc>
          <w:tcPr>
            <w:tcW w:w="2268" w:type="dxa"/>
            <w:noWrap/>
            <w:vAlign w:val="center"/>
            <w:hideMark/>
          </w:tcPr>
          <w:p w14:paraId="65A30C8C"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B254FB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1701F29"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5682F2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AE0D61" w:rsidRPr="00AE0D61" w14:paraId="30701DC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0456099"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04_112_0136_6_1</w:t>
            </w:r>
          </w:p>
        </w:tc>
        <w:tc>
          <w:tcPr>
            <w:tcW w:w="5670" w:type="dxa"/>
            <w:noWrap/>
            <w:vAlign w:val="center"/>
            <w:hideMark/>
          </w:tcPr>
          <w:p w14:paraId="1097B1FD"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Saturday</w:t>
            </w:r>
          </w:p>
        </w:tc>
        <w:tc>
          <w:tcPr>
            <w:tcW w:w="2268" w:type="dxa"/>
            <w:noWrap/>
            <w:vAlign w:val="center"/>
            <w:hideMark/>
          </w:tcPr>
          <w:p w14:paraId="2693F9AC"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5DE0F42"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2FC0D4E"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1A9710E7"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AE0D61" w:rsidRPr="00AE0D61" w14:paraId="53E318C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8340E93"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04_112_0136_6_1_T</w:t>
            </w:r>
          </w:p>
        </w:tc>
        <w:tc>
          <w:tcPr>
            <w:tcW w:w="5670" w:type="dxa"/>
            <w:noWrap/>
            <w:vAlign w:val="center"/>
            <w:hideMark/>
          </w:tcPr>
          <w:p w14:paraId="601FF3B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Saturday - TTP</w:t>
            </w:r>
          </w:p>
        </w:tc>
        <w:tc>
          <w:tcPr>
            <w:tcW w:w="2268" w:type="dxa"/>
            <w:noWrap/>
            <w:vAlign w:val="center"/>
            <w:hideMark/>
          </w:tcPr>
          <w:p w14:paraId="44D5BD46"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6CB01B1"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50CC648"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161F8FF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AE0D61" w:rsidRPr="00AE0D61" w14:paraId="0BEF814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A3B460A"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04_113_0136_6_1</w:t>
            </w:r>
          </w:p>
        </w:tc>
        <w:tc>
          <w:tcPr>
            <w:tcW w:w="5670" w:type="dxa"/>
            <w:noWrap/>
            <w:vAlign w:val="center"/>
            <w:hideMark/>
          </w:tcPr>
          <w:p w14:paraId="5EFAD81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Sunday</w:t>
            </w:r>
          </w:p>
        </w:tc>
        <w:tc>
          <w:tcPr>
            <w:tcW w:w="2268" w:type="dxa"/>
            <w:noWrap/>
            <w:vAlign w:val="center"/>
            <w:hideMark/>
          </w:tcPr>
          <w:p w14:paraId="584161E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F56539A"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DD235FB"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46D9B66" w14:textId="77777777" w:rsidR="00AE0D61" w:rsidRPr="00AE0D61" w:rsidRDefault="00AE0D61" w:rsidP="00AE0D6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AE0D61" w:rsidRPr="00AE0D61" w14:paraId="0109582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E3E7559" w14:textId="77777777" w:rsidR="00AE0D61" w:rsidRPr="00AE0D61" w:rsidRDefault="00AE0D61" w:rsidP="00AE0D61">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04_113_0136_6_1_T</w:t>
            </w:r>
          </w:p>
        </w:tc>
        <w:tc>
          <w:tcPr>
            <w:tcW w:w="5670" w:type="dxa"/>
            <w:noWrap/>
            <w:vAlign w:val="center"/>
            <w:hideMark/>
          </w:tcPr>
          <w:p w14:paraId="3D28D643"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Sunday - TTP</w:t>
            </w:r>
          </w:p>
        </w:tc>
        <w:tc>
          <w:tcPr>
            <w:tcW w:w="2268" w:type="dxa"/>
            <w:noWrap/>
            <w:vAlign w:val="center"/>
            <w:hideMark/>
          </w:tcPr>
          <w:p w14:paraId="62B096CA"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B95A40B"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6C2F99D"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0EEB7AE" w14:textId="77777777" w:rsidR="00AE0D61" w:rsidRPr="00AE0D61" w:rsidRDefault="00AE0D61" w:rsidP="00AE0D6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F773D3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E8827C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04_114_0136_6_1</w:t>
            </w:r>
          </w:p>
        </w:tc>
        <w:tc>
          <w:tcPr>
            <w:tcW w:w="5670" w:type="dxa"/>
            <w:noWrap/>
            <w:vAlign w:val="center"/>
            <w:hideMark/>
          </w:tcPr>
          <w:p w14:paraId="286C274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Weekday Afternoon</w:t>
            </w:r>
          </w:p>
        </w:tc>
        <w:tc>
          <w:tcPr>
            <w:tcW w:w="2268" w:type="dxa"/>
            <w:noWrap/>
            <w:vAlign w:val="center"/>
            <w:hideMark/>
          </w:tcPr>
          <w:p w14:paraId="582B0C5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684EE4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4B6B62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60768FC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7F9FCF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C74DC25"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04_114_0136_6_1_T</w:t>
            </w:r>
          </w:p>
        </w:tc>
        <w:tc>
          <w:tcPr>
            <w:tcW w:w="5670" w:type="dxa"/>
            <w:noWrap/>
            <w:vAlign w:val="center"/>
            <w:hideMark/>
          </w:tcPr>
          <w:p w14:paraId="0A2E5DD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Weekday Afternoon - TTP</w:t>
            </w:r>
          </w:p>
        </w:tc>
        <w:tc>
          <w:tcPr>
            <w:tcW w:w="2268" w:type="dxa"/>
            <w:noWrap/>
            <w:vAlign w:val="center"/>
            <w:hideMark/>
          </w:tcPr>
          <w:p w14:paraId="2FD3F31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122040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101B41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7965F87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80C3BE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C699261"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04_116_0104_6_1</w:t>
            </w:r>
          </w:p>
        </w:tc>
        <w:tc>
          <w:tcPr>
            <w:tcW w:w="5670" w:type="dxa"/>
            <w:noWrap/>
            <w:vAlign w:val="center"/>
            <w:hideMark/>
          </w:tcPr>
          <w:p w14:paraId="69214B2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Weekday Daytime</w:t>
            </w:r>
          </w:p>
        </w:tc>
        <w:tc>
          <w:tcPr>
            <w:tcW w:w="2268" w:type="dxa"/>
            <w:noWrap/>
            <w:vAlign w:val="center"/>
            <w:hideMark/>
          </w:tcPr>
          <w:p w14:paraId="3D4C448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1ED951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027E112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9644DD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B5265B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863003B"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04_116_0104_6_1_T</w:t>
            </w:r>
          </w:p>
        </w:tc>
        <w:tc>
          <w:tcPr>
            <w:tcW w:w="5670" w:type="dxa"/>
            <w:noWrap/>
            <w:vAlign w:val="center"/>
            <w:hideMark/>
          </w:tcPr>
          <w:p w14:paraId="390CC62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Weekday Daytime - TTP</w:t>
            </w:r>
          </w:p>
        </w:tc>
        <w:tc>
          <w:tcPr>
            <w:tcW w:w="2268" w:type="dxa"/>
            <w:noWrap/>
            <w:vAlign w:val="center"/>
            <w:hideMark/>
          </w:tcPr>
          <w:p w14:paraId="3A1B980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FA3D25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5AC8CA8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40EEAC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B64E1C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314A32E"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04_117_0104_6_1</w:t>
            </w:r>
          </w:p>
        </w:tc>
        <w:tc>
          <w:tcPr>
            <w:tcW w:w="5670" w:type="dxa"/>
            <w:noWrap/>
            <w:vAlign w:val="center"/>
            <w:hideMark/>
          </w:tcPr>
          <w:p w14:paraId="19C4C7B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Saturday</w:t>
            </w:r>
          </w:p>
        </w:tc>
        <w:tc>
          <w:tcPr>
            <w:tcW w:w="2268" w:type="dxa"/>
            <w:noWrap/>
            <w:vAlign w:val="center"/>
            <w:hideMark/>
          </w:tcPr>
          <w:p w14:paraId="2D2DC30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FA04C7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53A3734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4089A3F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79C52A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837347C"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04_117_0104_6_1_T</w:t>
            </w:r>
          </w:p>
        </w:tc>
        <w:tc>
          <w:tcPr>
            <w:tcW w:w="5670" w:type="dxa"/>
            <w:noWrap/>
            <w:vAlign w:val="center"/>
            <w:hideMark/>
          </w:tcPr>
          <w:p w14:paraId="28E5701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Saturday - TTP</w:t>
            </w:r>
          </w:p>
        </w:tc>
        <w:tc>
          <w:tcPr>
            <w:tcW w:w="2268" w:type="dxa"/>
            <w:noWrap/>
            <w:vAlign w:val="center"/>
            <w:hideMark/>
          </w:tcPr>
          <w:p w14:paraId="050AADB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5B6897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46C4611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76CE68E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A444BE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31C4CA6"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04_118_0104_6_1</w:t>
            </w:r>
          </w:p>
        </w:tc>
        <w:tc>
          <w:tcPr>
            <w:tcW w:w="5670" w:type="dxa"/>
            <w:noWrap/>
            <w:vAlign w:val="center"/>
            <w:hideMark/>
          </w:tcPr>
          <w:p w14:paraId="1FB5770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Sunday</w:t>
            </w:r>
          </w:p>
        </w:tc>
        <w:tc>
          <w:tcPr>
            <w:tcW w:w="2268" w:type="dxa"/>
            <w:noWrap/>
            <w:vAlign w:val="center"/>
            <w:hideMark/>
          </w:tcPr>
          <w:p w14:paraId="0FA4827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52ED6A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0EE2F1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C92794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90C4F1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9218B7A"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04_118_0104_6_1_T</w:t>
            </w:r>
          </w:p>
        </w:tc>
        <w:tc>
          <w:tcPr>
            <w:tcW w:w="5670" w:type="dxa"/>
            <w:noWrap/>
            <w:vAlign w:val="center"/>
            <w:hideMark/>
          </w:tcPr>
          <w:p w14:paraId="16F0B2F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Sunday - TTP</w:t>
            </w:r>
          </w:p>
        </w:tc>
        <w:tc>
          <w:tcPr>
            <w:tcW w:w="2268" w:type="dxa"/>
            <w:noWrap/>
            <w:vAlign w:val="center"/>
            <w:hideMark/>
          </w:tcPr>
          <w:p w14:paraId="2B0F94D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FCEACE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06CC638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6A13EA3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2493FB8"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841FCEC"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04_119_0104_6_1</w:t>
            </w:r>
          </w:p>
        </w:tc>
        <w:tc>
          <w:tcPr>
            <w:tcW w:w="5670" w:type="dxa"/>
            <w:noWrap/>
            <w:vAlign w:val="center"/>
            <w:hideMark/>
          </w:tcPr>
          <w:p w14:paraId="6690909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Weekday Afternoon</w:t>
            </w:r>
          </w:p>
        </w:tc>
        <w:tc>
          <w:tcPr>
            <w:tcW w:w="2268" w:type="dxa"/>
            <w:noWrap/>
            <w:vAlign w:val="center"/>
            <w:hideMark/>
          </w:tcPr>
          <w:p w14:paraId="5309080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C855CA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433FDB9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03D80BC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8222FB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F1E289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04_119_0104_6_1_T</w:t>
            </w:r>
          </w:p>
        </w:tc>
        <w:tc>
          <w:tcPr>
            <w:tcW w:w="5670" w:type="dxa"/>
            <w:noWrap/>
            <w:vAlign w:val="center"/>
            <w:hideMark/>
          </w:tcPr>
          <w:p w14:paraId="630741C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Weekday Afternoon - TTP</w:t>
            </w:r>
          </w:p>
        </w:tc>
        <w:tc>
          <w:tcPr>
            <w:tcW w:w="2268" w:type="dxa"/>
            <w:noWrap/>
            <w:vAlign w:val="center"/>
            <w:hideMark/>
          </w:tcPr>
          <w:p w14:paraId="2872655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7A6F82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B8B9EF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665DD0D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08626C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28D1DE8"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04_120_0136_6_1</w:t>
            </w:r>
          </w:p>
        </w:tc>
        <w:tc>
          <w:tcPr>
            <w:tcW w:w="5670" w:type="dxa"/>
            <w:noWrap/>
            <w:vAlign w:val="center"/>
            <w:hideMark/>
          </w:tcPr>
          <w:p w14:paraId="4AC0F70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Weekday Daytime</w:t>
            </w:r>
          </w:p>
        </w:tc>
        <w:tc>
          <w:tcPr>
            <w:tcW w:w="2268" w:type="dxa"/>
            <w:noWrap/>
            <w:vAlign w:val="center"/>
            <w:hideMark/>
          </w:tcPr>
          <w:p w14:paraId="67D134F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FE9996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FAF150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AC69D1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F6EEA9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58A271D"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04_120_0136_6_1_T</w:t>
            </w:r>
          </w:p>
        </w:tc>
        <w:tc>
          <w:tcPr>
            <w:tcW w:w="5670" w:type="dxa"/>
            <w:noWrap/>
            <w:vAlign w:val="center"/>
            <w:hideMark/>
          </w:tcPr>
          <w:p w14:paraId="600B4B5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Weekday Daytime - TTP</w:t>
            </w:r>
          </w:p>
        </w:tc>
        <w:tc>
          <w:tcPr>
            <w:tcW w:w="2268" w:type="dxa"/>
            <w:noWrap/>
            <w:vAlign w:val="center"/>
            <w:hideMark/>
          </w:tcPr>
          <w:p w14:paraId="2C553CB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D070D9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2A18D9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AC26A2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4073E8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D2A012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04_121_0136_6_1</w:t>
            </w:r>
          </w:p>
        </w:tc>
        <w:tc>
          <w:tcPr>
            <w:tcW w:w="5670" w:type="dxa"/>
            <w:noWrap/>
            <w:vAlign w:val="center"/>
            <w:hideMark/>
          </w:tcPr>
          <w:p w14:paraId="7F7A7F9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Saturday</w:t>
            </w:r>
          </w:p>
        </w:tc>
        <w:tc>
          <w:tcPr>
            <w:tcW w:w="2268" w:type="dxa"/>
            <w:noWrap/>
            <w:vAlign w:val="center"/>
            <w:hideMark/>
          </w:tcPr>
          <w:p w14:paraId="197DC90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994FCA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3ADBC4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B1DDF2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CB5267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4F59217"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04_121_0136_6_1_T</w:t>
            </w:r>
          </w:p>
        </w:tc>
        <w:tc>
          <w:tcPr>
            <w:tcW w:w="5670" w:type="dxa"/>
            <w:noWrap/>
            <w:vAlign w:val="center"/>
            <w:hideMark/>
          </w:tcPr>
          <w:p w14:paraId="2BF22AD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Saturday - TTP</w:t>
            </w:r>
          </w:p>
        </w:tc>
        <w:tc>
          <w:tcPr>
            <w:tcW w:w="2268" w:type="dxa"/>
            <w:noWrap/>
            <w:vAlign w:val="center"/>
            <w:hideMark/>
          </w:tcPr>
          <w:p w14:paraId="046138B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0C9A57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2DC952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1353B0D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9A181F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C9179B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04_122_0136_6_1</w:t>
            </w:r>
          </w:p>
        </w:tc>
        <w:tc>
          <w:tcPr>
            <w:tcW w:w="5670" w:type="dxa"/>
            <w:noWrap/>
            <w:vAlign w:val="center"/>
            <w:hideMark/>
          </w:tcPr>
          <w:p w14:paraId="13F6930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Sunday</w:t>
            </w:r>
          </w:p>
        </w:tc>
        <w:tc>
          <w:tcPr>
            <w:tcW w:w="2268" w:type="dxa"/>
            <w:noWrap/>
            <w:vAlign w:val="center"/>
            <w:hideMark/>
          </w:tcPr>
          <w:p w14:paraId="75736CE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826A3D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D67CCD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022B13C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C0F2BD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402E88C"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04_122_0136_6_1_T</w:t>
            </w:r>
          </w:p>
        </w:tc>
        <w:tc>
          <w:tcPr>
            <w:tcW w:w="5670" w:type="dxa"/>
            <w:noWrap/>
            <w:vAlign w:val="center"/>
            <w:hideMark/>
          </w:tcPr>
          <w:p w14:paraId="0EA0263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Sunday - TTP</w:t>
            </w:r>
          </w:p>
        </w:tc>
        <w:tc>
          <w:tcPr>
            <w:tcW w:w="2268" w:type="dxa"/>
            <w:noWrap/>
            <w:vAlign w:val="center"/>
            <w:hideMark/>
          </w:tcPr>
          <w:p w14:paraId="30E6E04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436C48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41E6CD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E4299B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0983F6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D11996B"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04_123_0136_6_1</w:t>
            </w:r>
          </w:p>
        </w:tc>
        <w:tc>
          <w:tcPr>
            <w:tcW w:w="5670" w:type="dxa"/>
            <w:noWrap/>
            <w:vAlign w:val="center"/>
            <w:hideMark/>
          </w:tcPr>
          <w:p w14:paraId="37376E3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Weekday Afternoon</w:t>
            </w:r>
          </w:p>
        </w:tc>
        <w:tc>
          <w:tcPr>
            <w:tcW w:w="2268" w:type="dxa"/>
            <w:noWrap/>
            <w:vAlign w:val="center"/>
            <w:hideMark/>
          </w:tcPr>
          <w:p w14:paraId="648B433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D9E60A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FEEF86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1DBC6C6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F975ED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BC44567"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04_123_0136_6_1_T</w:t>
            </w:r>
          </w:p>
        </w:tc>
        <w:tc>
          <w:tcPr>
            <w:tcW w:w="5670" w:type="dxa"/>
            <w:noWrap/>
            <w:vAlign w:val="center"/>
            <w:hideMark/>
          </w:tcPr>
          <w:p w14:paraId="43A7601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Weekday Afternoon - TTP</w:t>
            </w:r>
          </w:p>
        </w:tc>
        <w:tc>
          <w:tcPr>
            <w:tcW w:w="2268" w:type="dxa"/>
            <w:noWrap/>
            <w:vAlign w:val="center"/>
            <w:hideMark/>
          </w:tcPr>
          <w:p w14:paraId="071E9D9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C8F682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49BFEB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4F872B5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19FA59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D1D04BD"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04_124_0104_6_1</w:t>
            </w:r>
          </w:p>
        </w:tc>
        <w:tc>
          <w:tcPr>
            <w:tcW w:w="5670" w:type="dxa"/>
            <w:noWrap/>
            <w:vAlign w:val="center"/>
            <w:hideMark/>
          </w:tcPr>
          <w:p w14:paraId="1D4BA2D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Weekday Daytime</w:t>
            </w:r>
          </w:p>
        </w:tc>
        <w:tc>
          <w:tcPr>
            <w:tcW w:w="2268" w:type="dxa"/>
            <w:noWrap/>
            <w:vAlign w:val="center"/>
            <w:hideMark/>
          </w:tcPr>
          <w:p w14:paraId="79B23C2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5BAE3F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2DC9146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61FEBA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981BCE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4A0F98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04_124_0104_6_1_T</w:t>
            </w:r>
          </w:p>
        </w:tc>
        <w:tc>
          <w:tcPr>
            <w:tcW w:w="5670" w:type="dxa"/>
            <w:noWrap/>
            <w:vAlign w:val="center"/>
            <w:hideMark/>
          </w:tcPr>
          <w:p w14:paraId="6E91C88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Weekday Daytime - TTP</w:t>
            </w:r>
          </w:p>
        </w:tc>
        <w:tc>
          <w:tcPr>
            <w:tcW w:w="2268" w:type="dxa"/>
            <w:noWrap/>
            <w:vAlign w:val="center"/>
            <w:hideMark/>
          </w:tcPr>
          <w:p w14:paraId="69C688A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075761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53F264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2ABF27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0B178E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1398B4A"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04_125_0104_6_1</w:t>
            </w:r>
          </w:p>
        </w:tc>
        <w:tc>
          <w:tcPr>
            <w:tcW w:w="5670" w:type="dxa"/>
            <w:noWrap/>
            <w:vAlign w:val="center"/>
            <w:hideMark/>
          </w:tcPr>
          <w:p w14:paraId="47A182C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Saturday</w:t>
            </w:r>
          </w:p>
        </w:tc>
        <w:tc>
          <w:tcPr>
            <w:tcW w:w="2268" w:type="dxa"/>
            <w:noWrap/>
            <w:vAlign w:val="center"/>
            <w:hideMark/>
          </w:tcPr>
          <w:p w14:paraId="1A21FD1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4F7CA3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5115EF9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195F3A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E4066C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3772B74"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04_125_0104_6_1_T</w:t>
            </w:r>
          </w:p>
        </w:tc>
        <w:tc>
          <w:tcPr>
            <w:tcW w:w="5670" w:type="dxa"/>
            <w:noWrap/>
            <w:vAlign w:val="center"/>
            <w:hideMark/>
          </w:tcPr>
          <w:p w14:paraId="7DCAC13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Saturday - TTP</w:t>
            </w:r>
          </w:p>
        </w:tc>
        <w:tc>
          <w:tcPr>
            <w:tcW w:w="2268" w:type="dxa"/>
            <w:noWrap/>
            <w:vAlign w:val="center"/>
            <w:hideMark/>
          </w:tcPr>
          <w:p w14:paraId="6662D8D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925BCB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7C6C2E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F2FF7C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334230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7B4AF7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04_126_0104_6_1</w:t>
            </w:r>
          </w:p>
        </w:tc>
        <w:tc>
          <w:tcPr>
            <w:tcW w:w="5670" w:type="dxa"/>
            <w:noWrap/>
            <w:vAlign w:val="center"/>
            <w:hideMark/>
          </w:tcPr>
          <w:p w14:paraId="09BB949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Sunday</w:t>
            </w:r>
          </w:p>
        </w:tc>
        <w:tc>
          <w:tcPr>
            <w:tcW w:w="2268" w:type="dxa"/>
            <w:noWrap/>
            <w:vAlign w:val="center"/>
            <w:hideMark/>
          </w:tcPr>
          <w:p w14:paraId="7C41099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61A261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143550B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C65A9E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F59619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23116D7"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04_126_0104_6_1_T</w:t>
            </w:r>
          </w:p>
        </w:tc>
        <w:tc>
          <w:tcPr>
            <w:tcW w:w="5670" w:type="dxa"/>
            <w:noWrap/>
            <w:vAlign w:val="center"/>
            <w:hideMark/>
          </w:tcPr>
          <w:p w14:paraId="704618A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Sunday - TTP</w:t>
            </w:r>
          </w:p>
        </w:tc>
        <w:tc>
          <w:tcPr>
            <w:tcW w:w="2268" w:type="dxa"/>
            <w:noWrap/>
            <w:vAlign w:val="center"/>
            <w:hideMark/>
          </w:tcPr>
          <w:p w14:paraId="4C2BF99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E12B75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F10B29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EA01BD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B06F68F"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301F78A"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04_127_0104_6_1</w:t>
            </w:r>
          </w:p>
        </w:tc>
        <w:tc>
          <w:tcPr>
            <w:tcW w:w="5670" w:type="dxa"/>
            <w:noWrap/>
            <w:vAlign w:val="center"/>
            <w:hideMark/>
          </w:tcPr>
          <w:p w14:paraId="7D820B2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Weekday Afternoon</w:t>
            </w:r>
          </w:p>
        </w:tc>
        <w:tc>
          <w:tcPr>
            <w:tcW w:w="2268" w:type="dxa"/>
            <w:noWrap/>
            <w:vAlign w:val="center"/>
            <w:hideMark/>
          </w:tcPr>
          <w:p w14:paraId="00F29C7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669E5D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57A323B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289D710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F55DF7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52DA8F0"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04_127_0104_6_1_T</w:t>
            </w:r>
          </w:p>
        </w:tc>
        <w:tc>
          <w:tcPr>
            <w:tcW w:w="5670" w:type="dxa"/>
            <w:noWrap/>
            <w:vAlign w:val="center"/>
            <w:hideMark/>
          </w:tcPr>
          <w:p w14:paraId="13B6C2A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Weekday Afternoon - TTP</w:t>
            </w:r>
          </w:p>
        </w:tc>
        <w:tc>
          <w:tcPr>
            <w:tcW w:w="2268" w:type="dxa"/>
            <w:noWrap/>
            <w:vAlign w:val="center"/>
            <w:hideMark/>
          </w:tcPr>
          <w:p w14:paraId="655539E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19A711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CF0441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5871C31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AC945E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C6A7BB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04_128_0136_6_1</w:t>
            </w:r>
          </w:p>
        </w:tc>
        <w:tc>
          <w:tcPr>
            <w:tcW w:w="5670" w:type="dxa"/>
            <w:noWrap/>
            <w:vAlign w:val="center"/>
            <w:hideMark/>
          </w:tcPr>
          <w:p w14:paraId="5C1A2BF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Public Holiday</w:t>
            </w:r>
          </w:p>
        </w:tc>
        <w:tc>
          <w:tcPr>
            <w:tcW w:w="2268" w:type="dxa"/>
            <w:noWrap/>
            <w:vAlign w:val="center"/>
            <w:hideMark/>
          </w:tcPr>
          <w:p w14:paraId="7315C44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517A2F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6D2FEF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78B6C5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5FCDD5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68BEDD7"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04_128_0136_6_1_T</w:t>
            </w:r>
          </w:p>
        </w:tc>
        <w:tc>
          <w:tcPr>
            <w:tcW w:w="5670" w:type="dxa"/>
            <w:noWrap/>
            <w:vAlign w:val="center"/>
            <w:hideMark/>
          </w:tcPr>
          <w:p w14:paraId="112FFDB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Standard - Public Holiday - TTP</w:t>
            </w:r>
          </w:p>
        </w:tc>
        <w:tc>
          <w:tcPr>
            <w:tcW w:w="2268" w:type="dxa"/>
            <w:noWrap/>
            <w:vAlign w:val="center"/>
            <w:hideMark/>
          </w:tcPr>
          <w:p w14:paraId="792425B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AC718E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313E7E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DB5795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87404C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0C336AE"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04_129_0136_6_1</w:t>
            </w:r>
          </w:p>
        </w:tc>
        <w:tc>
          <w:tcPr>
            <w:tcW w:w="5670" w:type="dxa"/>
            <w:noWrap/>
            <w:vAlign w:val="center"/>
            <w:hideMark/>
          </w:tcPr>
          <w:p w14:paraId="4C158B4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Public Holiday</w:t>
            </w:r>
          </w:p>
        </w:tc>
        <w:tc>
          <w:tcPr>
            <w:tcW w:w="2268" w:type="dxa"/>
            <w:noWrap/>
            <w:vAlign w:val="center"/>
            <w:hideMark/>
          </w:tcPr>
          <w:p w14:paraId="718CE30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4ED90C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8D70B7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CDF956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4751A4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5E76CFB"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04_129_0136_6_1_T</w:t>
            </w:r>
          </w:p>
        </w:tc>
        <w:tc>
          <w:tcPr>
            <w:tcW w:w="5670" w:type="dxa"/>
            <w:noWrap/>
            <w:vAlign w:val="center"/>
            <w:hideMark/>
          </w:tcPr>
          <w:p w14:paraId="3A4C9F3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Standard - Public Holiday - TTP</w:t>
            </w:r>
          </w:p>
        </w:tc>
        <w:tc>
          <w:tcPr>
            <w:tcW w:w="2268" w:type="dxa"/>
            <w:noWrap/>
            <w:vAlign w:val="center"/>
            <w:hideMark/>
          </w:tcPr>
          <w:p w14:paraId="2885E0F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315577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4C8B53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2DBC72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3A4264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B7D3B0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04_130_0104_6_1</w:t>
            </w:r>
          </w:p>
        </w:tc>
        <w:tc>
          <w:tcPr>
            <w:tcW w:w="5670" w:type="dxa"/>
            <w:noWrap/>
            <w:vAlign w:val="center"/>
            <w:hideMark/>
          </w:tcPr>
          <w:p w14:paraId="5E4F633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Public Holiday</w:t>
            </w:r>
          </w:p>
        </w:tc>
        <w:tc>
          <w:tcPr>
            <w:tcW w:w="2268" w:type="dxa"/>
            <w:noWrap/>
            <w:vAlign w:val="center"/>
            <w:hideMark/>
          </w:tcPr>
          <w:p w14:paraId="269D709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0F4711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CA3A0A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C57E97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0F2E8D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B5DB73B"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04_130_0104_6_1_T</w:t>
            </w:r>
          </w:p>
        </w:tc>
        <w:tc>
          <w:tcPr>
            <w:tcW w:w="5670" w:type="dxa"/>
            <w:noWrap/>
            <w:vAlign w:val="center"/>
            <w:hideMark/>
          </w:tcPr>
          <w:p w14:paraId="654B1DC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- 1:2 - Complex - Public Holiday - TTP</w:t>
            </w:r>
          </w:p>
        </w:tc>
        <w:tc>
          <w:tcPr>
            <w:tcW w:w="2268" w:type="dxa"/>
            <w:noWrap/>
            <w:vAlign w:val="center"/>
            <w:hideMark/>
          </w:tcPr>
          <w:p w14:paraId="0DC3841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0AE28F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546551D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4E013FA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597477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1DC5D46"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04_131_0104_6_1</w:t>
            </w:r>
          </w:p>
        </w:tc>
        <w:tc>
          <w:tcPr>
            <w:tcW w:w="5670" w:type="dxa"/>
            <w:noWrap/>
            <w:vAlign w:val="center"/>
            <w:hideMark/>
          </w:tcPr>
          <w:p w14:paraId="1DF30AF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Public Holiday</w:t>
            </w:r>
          </w:p>
        </w:tc>
        <w:tc>
          <w:tcPr>
            <w:tcW w:w="2268" w:type="dxa"/>
            <w:noWrap/>
            <w:vAlign w:val="center"/>
            <w:hideMark/>
          </w:tcPr>
          <w:p w14:paraId="0FF96D7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EE95B1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0958CB5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2E7E7D3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3EA13B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79D131E"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04_131_0104_6_1_T</w:t>
            </w:r>
          </w:p>
        </w:tc>
        <w:tc>
          <w:tcPr>
            <w:tcW w:w="5670" w:type="dxa"/>
            <w:noWrap/>
            <w:vAlign w:val="center"/>
            <w:hideMark/>
          </w:tcPr>
          <w:p w14:paraId="3FF347E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- 1:3 - Complex - Public Holiday - TTP</w:t>
            </w:r>
          </w:p>
        </w:tc>
        <w:tc>
          <w:tcPr>
            <w:tcW w:w="2268" w:type="dxa"/>
            <w:noWrap/>
            <w:vAlign w:val="center"/>
            <w:hideMark/>
          </w:tcPr>
          <w:p w14:paraId="731A593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4DE375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BFE488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531D5F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96FFD5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60302B0"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04_136_0136_6_1</w:t>
            </w:r>
          </w:p>
        </w:tc>
        <w:tc>
          <w:tcPr>
            <w:tcW w:w="5670" w:type="dxa"/>
            <w:noWrap/>
            <w:vAlign w:val="center"/>
            <w:hideMark/>
          </w:tcPr>
          <w:p w14:paraId="2C8ADE0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Weekday Daytime</w:t>
            </w:r>
          </w:p>
        </w:tc>
        <w:tc>
          <w:tcPr>
            <w:tcW w:w="2268" w:type="dxa"/>
            <w:noWrap/>
            <w:vAlign w:val="center"/>
            <w:hideMark/>
          </w:tcPr>
          <w:p w14:paraId="6675507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D9CEAD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7E99BA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8066C2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921AAA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857D9E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04_136_0136_6_1_T</w:t>
            </w:r>
          </w:p>
        </w:tc>
        <w:tc>
          <w:tcPr>
            <w:tcW w:w="5670" w:type="dxa"/>
            <w:noWrap/>
            <w:vAlign w:val="center"/>
            <w:hideMark/>
          </w:tcPr>
          <w:p w14:paraId="1D4EB20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Weekday Daytime - TTP</w:t>
            </w:r>
          </w:p>
        </w:tc>
        <w:tc>
          <w:tcPr>
            <w:tcW w:w="2268" w:type="dxa"/>
            <w:noWrap/>
            <w:vAlign w:val="center"/>
            <w:hideMark/>
          </w:tcPr>
          <w:p w14:paraId="6F10AB3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D84E2F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E0458A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7CAC62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177C8A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B9D9222"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04_137_0136_6_1</w:t>
            </w:r>
          </w:p>
        </w:tc>
        <w:tc>
          <w:tcPr>
            <w:tcW w:w="5670" w:type="dxa"/>
            <w:noWrap/>
            <w:vAlign w:val="center"/>
            <w:hideMark/>
          </w:tcPr>
          <w:p w14:paraId="36FBC95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Weekday Afternoon</w:t>
            </w:r>
          </w:p>
        </w:tc>
        <w:tc>
          <w:tcPr>
            <w:tcW w:w="2268" w:type="dxa"/>
            <w:noWrap/>
            <w:vAlign w:val="center"/>
            <w:hideMark/>
          </w:tcPr>
          <w:p w14:paraId="7466ED4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BA9E09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F19B70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088F6DE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B70017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B5A708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04_137_0136_6_1_T</w:t>
            </w:r>
          </w:p>
        </w:tc>
        <w:tc>
          <w:tcPr>
            <w:tcW w:w="5670" w:type="dxa"/>
            <w:noWrap/>
            <w:vAlign w:val="center"/>
            <w:hideMark/>
          </w:tcPr>
          <w:p w14:paraId="079D046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Weekday Afternoon - TTP</w:t>
            </w:r>
          </w:p>
        </w:tc>
        <w:tc>
          <w:tcPr>
            <w:tcW w:w="2268" w:type="dxa"/>
            <w:noWrap/>
            <w:vAlign w:val="center"/>
            <w:hideMark/>
          </w:tcPr>
          <w:p w14:paraId="2DBDC7F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4AC460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008A1A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262EC60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91C1BA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2F5F76B"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04_138_0136_6_1</w:t>
            </w:r>
          </w:p>
        </w:tc>
        <w:tc>
          <w:tcPr>
            <w:tcW w:w="5670" w:type="dxa"/>
            <w:noWrap/>
            <w:vAlign w:val="center"/>
            <w:hideMark/>
          </w:tcPr>
          <w:p w14:paraId="7121A9F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Saturday</w:t>
            </w:r>
          </w:p>
        </w:tc>
        <w:tc>
          <w:tcPr>
            <w:tcW w:w="2268" w:type="dxa"/>
            <w:noWrap/>
            <w:vAlign w:val="center"/>
            <w:hideMark/>
          </w:tcPr>
          <w:p w14:paraId="33838B9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88E94F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0F6A12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4091169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3780F8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65CF6F5"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04_138_0136_6_1_T</w:t>
            </w:r>
          </w:p>
        </w:tc>
        <w:tc>
          <w:tcPr>
            <w:tcW w:w="5670" w:type="dxa"/>
            <w:noWrap/>
            <w:vAlign w:val="center"/>
            <w:hideMark/>
          </w:tcPr>
          <w:p w14:paraId="177AFE6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Saturday - TTP</w:t>
            </w:r>
          </w:p>
        </w:tc>
        <w:tc>
          <w:tcPr>
            <w:tcW w:w="2268" w:type="dxa"/>
            <w:noWrap/>
            <w:vAlign w:val="center"/>
            <w:hideMark/>
          </w:tcPr>
          <w:p w14:paraId="647F8B3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C0D95B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035D00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B7931C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B93698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FF809DB"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04_139_0136_6_1</w:t>
            </w:r>
          </w:p>
        </w:tc>
        <w:tc>
          <w:tcPr>
            <w:tcW w:w="5670" w:type="dxa"/>
            <w:noWrap/>
            <w:vAlign w:val="center"/>
            <w:hideMark/>
          </w:tcPr>
          <w:p w14:paraId="399ED44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Sunday</w:t>
            </w:r>
          </w:p>
        </w:tc>
        <w:tc>
          <w:tcPr>
            <w:tcW w:w="2268" w:type="dxa"/>
            <w:noWrap/>
            <w:vAlign w:val="center"/>
            <w:hideMark/>
          </w:tcPr>
          <w:p w14:paraId="1D435B3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C0F7DF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960218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37F4209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51E3F4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143E84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04_139_0136_6_1_T</w:t>
            </w:r>
          </w:p>
        </w:tc>
        <w:tc>
          <w:tcPr>
            <w:tcW w:w="5670" w:type="dxa"/>
            <w:noWrap/>
            <w:vAlign w:val="center"/>
            <w:hideMark/>
          </w:tcPr>
          <w:p w14:paraId="3533119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Sunday - TTP</w:t>
            </w:r>
          </w:p>
        </w:tc>
        <w:tc>
          <w:tcPr>
            <w:tcW w:w="2268" w:type="dxa"/>
            <w:noWrap/>
            <w:vAlign w:val="center"/>
            <w:hideMark/>
          </w:tcPr>
          <w:p w14:paraId="0337666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F5FC03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75D556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2A0FD3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9DE987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46E780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04_140_0136_6_1</w:t>
            </w:r>
          </w:p>
        </w:tc>
        <w:tc>
          <w:tcPr>
            <w:tcW w:w="5670" w:type="dxa"/>
            <w:noWrap/>
            <w:vAlign w:val="center"/>
            <w:hideMark/>
          </w:tcPr>
          <w:p w14:paraId="6CFED02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Public Holiday</w:t>
            </w:r>
          </w:p>
        </w:tc>
        <w:tc>
          <w:tcPr>
            <w:tcW w:w="2268" w:type="dxa"/>
            <w:noWrap/>
            <w:vAlign w:val="center"/>
            <w:hideMark/>
          </w:tcPr>
          <w:p w14:paraId="068513F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A5B6E1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09BBBF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518657A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71647A2"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B8BB012"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04_140_0136_6_1_T</w:t>
            </w:r>
          </w:p>
        </w:tc>
        <w:tc>
          <w:tcPr>
            <w:tcW w:w="5670" w:type="dxa"/>
            <w:noWrap/>
            <w:vAlign w:val="center"/>
            <w:hideMark/>
          </w:tcPr>
          <w:p w14:paraId="18EE8E2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Standard - Public Holiday - TTP</w:t>
            </w:r>
          </w:p>
        </w:tc>
        <w:tc>
          <w:tcPr>
            <w:tcW w:w="2268" w:type="dxa"/>
            <w:noWrap/>
            <w:vAlign w:val="center"/>
            <w:hideMark/>
          </w:tcPr>
          <w:p w14:paraId="12CFA84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376DA1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19AB18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69A435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093094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CC6E25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04_141_0136_6_1</w:t>
            </w:r>
          </w:p>
        </w:tc>
        <w:tc>
          <w:tcPr>
            <w:tcW w:w="5670" w:type="dxa"/>
            <w:noWrap/>
            <w:vAlign w:val="center"/>
            <w:hideMark/>
          </w:tcPr>
          <w:p w14:paraId="34E5672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Weekday Daytime</w:t>
            </w:r>
          </w:p>
        </w:tc>
        <w:tc>
          <w:tcPr>
            <w:tcW w:w="2268" w:type="dxa"/>
            <w:noWrap/>
            <w:vAlign w:val="center"/>
            <w:hideMark/>
          </w:tcPr>
          <w:p w14:paraId="5FB2938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0D1F4B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1A5C81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7FF9788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30FB67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3D8927C"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04_141_0136_6_1_T</w:t>
            </w:r>
          </w:p>
        </w:tc>
        <w:tc>
          <w:tcPr>
            <w:tcW w:w="5670" w:type="dxa"/>
            <w:noWrap/>
            <w:vAlign w:val="center"/>
            <w:hideMark/>
          </w:tcPr>
          <w:p w14:paraId="66786BC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Weekday Daytime - TTP</w:t>
            </w:r>
          </w:p>
        </w:tc>
        <w:tc>
          <w:tcPr>
            <w:tcW w:w="2268" w:type="dxa"/>
            <w:noWrap/>
            <w:vAlign w:val="center"/>
            <w:hideMark/>
          </w:tcPr>
          <w:p w14:paraId="34CB64C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9E5AB3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AE71C8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0F3F1B8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649B2C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CD83526"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04_142_0136_6_1</w:t>
            </w:r>
          </w:p>
        </w:tc>
        <w:tc>
          <w:tcPr>
            <w:tcW w:w="5670" w:type="dxa"/>
            <w:noWrap/>
            <w:vAlign w:val="center"/>
            <w:hideMark/>
          </w:tcPr>
          <w:p w14:paraId="5D7BA99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Weekday Afternoon</w:t>
            </w:r>
          </w:p>
        </w:tc>
        <w:tc>
          <w:tcPr>
            <w:tcW w:w="2268" w:type="dxa"/>
            <w:noWrap/>
            <w:vAlign w:val="center"/>
            <w:hideMark/>
          </w:tcPr>
          <w:p w14:paraId="6C257B2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4F192E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29C9F2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7D93484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31F1EF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45C3910"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04_142_0136_6_1_T</w:t>
            </w:r>
          </w:p>
        </w:tc>
        <w:tc>
          <w:tcPr>
            <w:tcW w:w="5670" w:type="dxa"/>
            <w:noWrap/>
            <w:vAlign w:val="center"/>
            <w:hideMark/>
          </w:tcPr>
          <w:p w14:paraId="0105DA3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Weekday Afternoon - TTP</w:t>
            </w:r>
          </w:p>
        </w:tc>
        <w:tc>
          <w:tcPr>
            <w:tcW w:w="2268" w:type="dxa"/>
            <w:noWrap/>
            <w:vAlign w:val="center"/>
            <w:hideMark/>
          </w:tcPr>
          <w:p w14:paraId="5890C9F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5A1EB9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FD7EEB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49EF0EF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E0AF4E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BF474EE"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04_143_0136_6_1</w:t>
            </w:r>
          </w:p>
        </w:tc>
        <w:tc>
          <w:tcPr>
            <w:tcW w:w="5670" w:type="dxa"/>
            <w:noWrap/>
            <w:vAlign w:val="center"/>
            <w:hideMark/>
          </w:tcPr>
          <w:p w14:paraId="3C3677B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Saturday</w:t>
            </w:r>
          </w:p>
        </w:tc>
        <w:tc>
          <w:tcPr>
            <w:tcW w:w="2268" w:type="dxa"/>
            <w:noWrap/>
            <w:vAlign w:val="center"/>
            <w:hideMark/>
          </w:tcPr>
          <w:p w14:paraId="109CB77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736812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106A9B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7A9897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A2F394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562A3AE"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04_143_0136_6_1_T</w:t>
            </w:r>
          </w:p>
        </w:tc>
        <w:tc>
          <w:tcPr>
            <w:tcW w:w="5670" w:type="dxa"/>
            <w:noWrap/>
            <w:vAlign w:val="center"/>
            <w:hideMark/>
          </w:tcPr>
          <w:p w14:paraId="242E08A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Saturday - TTP</w:t>
            </w:r>
          </w:p>
        </w:tc>
        <w:tc>
          <w:tcPr>
            <w:tcW w:w="2268" w:type="dxa"/>
            <w:noWrap/>
            <w:vAlign w:val="center"/>
            <w:hideMark/>
          </w:tcPr>
          <w:p w14:paraId="150DC7B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CB4101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2DA6DA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00AD0F4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94BB45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0B564FC"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04_144_0136_6_1</w:t>
            </w:r>
          </w:p>
        </w:tc>
        <w:tc>
          <w:tcPr>
            <w:tcW w:w="5670" w:type="dxa"/>
            <w:noWrap/>
            <w:vAlign w:val="center"/>
            <w:hideMark/>
          </w:tcPr>
          <w:p w14:paraId="59EFF71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Sunday</w:t>
            </w:r>
          </w:p>
        </w:tc>
        <w:tc>
          <w:tcPr>
            <w:tcW w:w="2268" w:type="dxa"/>
            <w:noWrap/>
            <w:vAlign w:val="center"/>
            <w:hideMark/>
          </w:tcPr>
          <w:p w14:paraId="65E81AB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4555F4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A360D1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6A1692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62B8F1F"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8515546"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04_144_0136_6_1_T</w:t>
            </w:r>
          </w:p>
        </w:tc>
        <w:tc>
          <w:tcPr>
            <w:tcW w:w="5670" w:type="dxa"/>
            <w:noWrap/>
            <w:vAlign w:val="center"/>
            <w:hideMark/>
          </w:tcPr>
          <w:p w14:paraId="4341541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Sunday - TTP</w:t>
            </w:r>
          </w:p>
        </w:tc>
        <w:tc>
          <w:tcPr>
            <w:tcW w:w="2268" w:type="dxa"/>
            <w:noWrap/>
            <w:vAlign w:val="center"/>
            <w:hideMark/>
          </w:tcPr>
          <w:p w14:paraId="3C42F0C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F1B217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EE0782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046F200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5FE66B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01E5A0D"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04_145_0136_6_1</w:t>
            </w:r>
          </w:p>
        </w:tc>
        <w:tc>
          <w:tcPr>
            <w:tcW w:w="5670" w:type="dxa"/>
            <w:noWrap/>
            <w:vAlign w:val="center"/>
            <w:hideMark/>
          </w:tcPr>
          <w:p w14:paraId="67716AA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Public Holiday</w:t>
            </w:r>
          </w:p>
        </w:tc>
        <w:tc>
          <w:tcPr>
            <w:tcW w:w="2268" w:type="dxa"/>
            <w:noWrap/>
            <w:vAlign w:val="center"/>
            <w:hideMark/>
          </w:tcPr>
          <w:p w14:paraId="05148E6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0A7350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9A9DE7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74C8CA1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F57049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BB6F76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04_145_0136_6_1_T</w:t>
            </w:r>
          </w:p>
        </w:tc>
        <w:tc>
          <w:tcPr>
            <w:tcW w:w="5670" w:type="dxa"/>
            <w:noWrap/>
            <w:vAlign w:val="center"/>
            <w:hideMark/>
          </w:tcPr>
          <w:p w14:paraId="553E3FD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Standard - Public Holiday - TTP</w:t>
            </w:r>
          </w:p>
        </w:tc>
        <w:tc>
          <w:tcPr>
            <w:tcW w:w="2268" w:type="dxa"/>
            <w:noWrap/>
            <w:vAlign w:val="center"/>
            <w:hideMark/>
          </w:tcPr>
          <w:p w14:paraId="502362D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89375C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C19F21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A69290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5740D7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8583760"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04_146_0104_6_1</w:t>
            </w:r>
          </w:p>
        </w:tc>
        <w:tc>
          <w:tcPr>
            <w:tcW w:w="5670" w:type="dxa"/>
            <w:noWrap/>
            <w:vAlign w:val="center"/>
            <w:hideMark/>
          </w:tcPr>
          <w:p w14:paraId="4B5136E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Weekday Daytime</w:t>
            </w:r>
          </w:p>
        </w:tc>
        <w:tc>
          <w:tcPr>
            <w:tcW w:w="2268" w:type="dxa"/>
            <w:noWrap/>
            <w:vAlign w:val="center"/>
            <w:hideMark/>
          </w:tcPr>
          <w:p w14:paraId="05B39A9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63DD9C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1DD7D7F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7C842B0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FB9581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034E77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04_146_0104_6_1_T</w:t>
            </w:r>
          </w:p>
        </w:tc>
        <w:tc>
          <w:tcPr>
            <w:tcW w:w="5670" w:type="dxa"/>
            <w:noWrap/>
            <w:vAlign w:val="center"/>
            <w:hideMark/>
          </w:tcPr>
          <w:p w14:paraId="08A1AA3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Weekday Daytime - TTP</w:t>
            </w:r>
          </w:p>
        </w:tc>
        <w:tc>
          <w:tcPr>
            <w:tcW w:w="2268" w:type="dxa"/>
            <w:noWrap/>
            <w:vAlign w:val="center"/>
            <w:hideMark/>
          </w:tcPr>
          <w:p w14:paraId="3D0BA08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219304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1B5DB98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75A46B6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6B28DE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4742B37"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04_147_0104_6_1</w:t>
            </w:r>
          </w:p>
        </w:tc>
        <w:tc>
          <w:tcPr>
            <w:tcW w:w="5670" w:type="dxa"/>
            <w:noWrap/>
            <w:vAlign w:val="center"/>
            <w:hideMark/>
          </w:tcPr>
          <w:p w14:paraId="37AAA8C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Weekday Afternoon</w:t>
            </w:r>
          </w:p>
        </w:tc>
        <w:tc>
          <w:tcPr>
            <w:tcW w:w="2268" w:type="dxa"/>
            <w:noWrap/>
            <w:vAlign w:val="center"/>
            <w:hideMark/>
          </w:tcPr>
          <w:p w14:paraId="291AE02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715C83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9AE47C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5E04BC2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333A26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AFB25D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04_147_0104_6_1_T</w:t>
            </w:r>
          </w:p>
        </w:tc>
        <w:tc>
          <w:tcPr>
            <w:tcW w:w="5670" w:type="dxa"/>
            <w:noWrap/>
            <w:vAlign w:val="center"/>
            <w:hideMark/>
          </w:tcPr>
          <w:p w14:paraId="4FE8AA2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Weekday Afternoon - TTP</w:t>
            </w:r>
          </w:p>
        </w:tc>
        <w:tc>
          <w:tcPr>
            <w:tcW w:w="2268" w:type="dxa"/>
            <w:noWrap/>
            <w:vAlign w:val="center"/>
            <w:hideMark/>
          </w:tcPr>
          <w:p w14:paraId="2BD4D20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E8AC01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4BF8393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0CB83E1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A2302D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EEAD271"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04_148_0104_6_1</w:t>
            </w:r>
          </w:p>
        </w:tc>
        <w:tc>
          <w:tcPr>
            <w:tcW w:w="5670" w:type="dxa"/>
            <w:noWrap/>
            <w:vAlign w:val="center"/>
            <w:hideMark/>
          </w:tcPr>
          <w:p w14:paraId="5197FE4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Saturday</w:t>
            </w:r>
          </w:p>
        </w:tc>
        <w:tc>
          <w:tcPr>
            <w:tcW w:w="2268" w:type="dxa"/>
            <w:noWrap/>
            <w:vAlign w:val="center"/>
            <w:hideMark/>
          </w:tcPr>
          <w:p w14:paraId="4F030A1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2A5F5F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73D9924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7CCE1C5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844D8A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C2FB61B"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04_148_0104_6_1_T</w:t>
            </w:r>
          </w:p>
        </w:tc>
        <w:tc>
          <w:tcPr>
            <w:tcW w:w="5670" w:type="dxa"/>
            <w:noWrap/>
            <w:vAlign w:val="center"/>
            <w:hideMark/>
          </w:tcPr>
          <w:p w14:paraId="4D6A342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Saturday - TTP</w:t>
            </w:r>
          </w:p>
        </w:tc>
        <w:tc>
          <w:tcPr>
            <w:tcW w:w="2268" w:type="dxa"/>
            <w:noWrap/>
            <w:vAlign w:val="center"/>
            <w:hideMark/>
          </w:tcPr>
          <w:p w14:paraId="7E5E957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D98573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285684F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1A37C31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FB1824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4390D9C"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04_149_0104_6_1</w:t>
            </w:r>
          </w:p>
        </w:tc>
        <w:tc>
          <w:tcPr>
            <w:tcW w:w="5670" w:type="dxa"/>
            <w:noWrap/>
            <w:vAlign w:val="center"/>
            <w:hideMark/>
          </w:tcPr>
          <w:p w14:paraId="0BCBEC5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Sunday</w:t>
            </w:r>
          </w:p>
        </w:tc>
        <w:tc>
          <w:tcPr>
            <w:tcW w:w="2268" w:type="dxa"/>
            <w:noWrap/>
            <w:vAlign w:val="center"/>
            <w:hideMark/>
          </w:tcPr>
          <w:p w14:paraId="2935C6A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F13C03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03C241B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4E5F0E3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D9F01F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7DF3136"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04_149_0104_6_1_T</w:t>
            </w:r>
          </w:p>
        </w:tc>
        <w:tc>
          <w:tcPr>
            <w:tcW w:w="5670" w:type="dxa"/>
            <w:noWrap/>
            <w:vAlign w:val="center"/>
            <w:hideMark/>
          </w:tcPr>
          <w:p w14:paraId="586FBB8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Sunday - TTP</w:t>
            </w:r>
          </w:p>
        </w:tc>
        <w:tc>
          <w:tcPr>
            <w:tcW w:w="2268" w:type="dxa"/>
            <w:noWrap/>
            <w:vAlign w:val="center"/>
            <w:hideMark/>
          </w:tcPr>
          <w:p w14:paraId="517A453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ABE560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52F623F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47CF0FD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889C7BF"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81B6BA7"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04_150_0104_6_1</w:t>
            </w:r>
          </w:p>
        </w:tc>
        <w:tc>
          <w:tcPr>
            <w:tcW w:w="5670" w:type="dxa"/>
            <w:noWrap/>
            <w:vAlign w:val="center"/>
            <w:hideMark/>
          </w:tcPr>
          <w:p w14:paraId="1EFD902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Public Holiday</w:t>
            </w:r>
          </w:p>
        </w:tc>
        <w:tc>
          <w:tcPr>
            <w:tcW w:w="2268" w:type="dxa"/>
            <w:noWrap/>
            <w:vAlign w:val="center"/>
            <w:hideMark/>
          </w:tcPr>
          <w:p w14:paraId="009001A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F9B790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7A7F88F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09B7502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FF3044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8C0C85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04_150_0104_6_1_T</w:t>
            </w:r>
          </w:p>
        </w:tc>
        <w:tc>
          <w:tcPr>
            <w:tcW w:w="5670" w:type="dxa"/>
            <w:noWrap/>
            <w:vAlign w:val="center"/>
            <w:hideMark/>
          </w:tcPr>
          <w:p w14:paraId="56D2CFA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- 1:4 - Complex - Public Holiday - TTP</w:t>
            </w:r>
          </w:p>
        </w:tc>
        <w:tc>
          <w:tcPr>
            <w:tcW w:w="2268" w:type="dxa"/>
            <w:noWrap/>
            <w:vAlign w:val="center"/>
            <w:hideMark/>
          </w:tcPr>
          <w:p w14:paraId="7074306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4719BE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05761D6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F53766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C8D6EF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8F8A324"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04_151_0104_6_1</w:t>
            </w:r>
          </w:p>
        </w:tc>
        <w:tc>
          <w:tcPr>
            <w:tcW w:w="5670" w:type="dxa"/>
            <w:noWrap/>
            <w:vAlign w:val="center"/>
            <w:hideMark/>
          </w:tcPr>
          <w:p w14:paraId="4597532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Weekday Daytime</w:t>
            </w:r>
          </w:p>
        </w:tc>
        <w:tc>
          <w:tcPr>
            <w:tcW w:w="2268" w:type="dxa"/>
            <w:noWrap/>
            <w:vAlign w:val="center"/>
            <w:hideMark/>
          </w:tcPr>
          <w:p w14:paraId="595DC60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D83B41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40A1C31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8C6C55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C04793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8E73486"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04_151_0104_6_1_T</w:t>
            </w:r>
          </w:p>
        </w:tc>
        <w:tc>
          <w:tcPr>
            <w:tcW w:w="5670" w:type="dxa"/>
            <w:noWrap/>
            <w:vAlign w:val="center"/>
            <w:hideMark/>
          </w:tcPr>
          <w:p w14:paraId="58D6F25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Weekday Daytime - TTP</w:t>
            </w:r>
          </w:p>
        </w:tc>
        <w:tc>
          <w:tcPr>
            <w:tcW w:w="2268" w:type="dxa"/>
            <w:noWrap/>
            <w:vAlign w:val="center"/>
            <w:hideMark/>
          </w:tcPr>
          <w:p w14:paraId="491CB30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D0CD3D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2027666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28F3C2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A5675E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2AC12C6"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04_152_0104_6_1</w:t>
            </w:r>
          </w:p>
        </w:tc>
        <w:tc>
          <w:tcPr>
            <w:tcW w:w="5670" w:type="dxa"/>
            <w:noWrap/>
            <w:vAlign w:val="center"/>
            <w:hideMark/>
          </w:tcPr>
          <w:p w14:paraId="1E58E1E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Weekday Afternoon</w:t>
            </w:r>
          </w:p>
        </w:tc>
        <w:tc>
          <w:tcPr>
            <w:tcW w:w="2268" w:type="dxa"/>
            <w:noWrap/>
            <w:vAlign w:val="center"/>
            <w:hideMark/>
          </w:tcPr>
          <w:p w14:paraId="52DF996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70C517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5E9E2EA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7570902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6B1922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1F58A50"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04_152_0104_6_1_T</w:t>
            </w:r>
          </w:p>
        </w:tc>
        <w:tc>
          <w:tcPr>
            <w:tcW w:w="5670" w:type="dxa"/>
            <w:noWrap/>
            <w:vAlign w:val="center"/>
            <w:hideMark/>
          </w:tcPr>
          <w:p w14:paraId="23C7FAD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Weekday Afternoon - TTP</w:t>
            </w:r>
          </w:p>
        </w:tc>
        <w:tc>
          <w:tcPr>
            <w:tcW w:w="2268" w:type="dxa"/>
            <w:noWrap/>
            <w:vAlign w:val="center"/>
            <w:hideMark/>
          </w:tcPr>
          <w:p w14:paraId="49EF443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B19466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13AEB56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3071540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AD5D39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5415E9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04_153_0104_6_1</w:t>
            </w:r>
          </w:p>
        </w:tc>
        <w:tc>
          <w:tcPr>
            <w:tcW w:w="5670" w:type="dxa"/>
            <w:noWrap/>
            <w:vAlign w:val="center"/>
            <w:hideMark/>
          </w:tcPr>
          <w:p w14:paraId="17D711C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Saturday</w:t>
            </w:r>
          </w:p>
        </w:tc>
        <w:tc>
          <w:tcPr>
            <w:tcW w:w="2268" w:type="dxa"/>
            <w:noWrap/>
            <w:vAlign w:val="center"/>
            <w:hideMark/>
          </w:tcPr>
          <w:p w14:paraId="30D13B2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5D84FA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674310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28A9DD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886027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82402B4"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04_153_0104_6_1_T</w:t>
            </w:r>
          </w:p>
        </w:tc>
        <w:tc>
          <w:tcPr>
            <w:tcW w:w="5670" w:type="dxa"/>
            <w:noWrap/>
            <w:vAlign w:val="center"/>
            <w:hideMark/>
          </w:tcPr>
          <w:p w14:paraId="588896F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Saturday - TTP</w:t>
            </w:r>
          </w:p>
        </w:tc>
        <w:tc>
          <w:tcPr>
            <w:tcW w:w="2268" w:type="dxa"/>
            <w:noWrap/>
            <w:vAlign w:val="center"/>
            <w:hideMark/>
          </w:tcPr>
          <w:p w14:paraId="0B14914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F16C4F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178FD01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032FB6D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77B6C1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8195717"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04_154_0104_6_1</w:t>
            </w:r>
          </w:p>
        </w:tc>
        <w:tc>
          <w:tcPr>
            <w:tcW w:w="5670" w:type="dxa"/>
            <w:noWrap/>
            <w:vAlign w:val="center"/>
            <w:hideMark/>
          </w:tcPr>
          <w:p w14:paraId="6F2EDF4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Sunday</w:t>
            </w:r>
          </w:p>
        </w:tc>
        <w:tc>
          <w:tcPr>
            <w:tcW w:w="2268" w:type="dxa"/>
            <w:noWrap/>
            <w:vAlign w:val="center"/>
            <w:hideMark/>
          </w:tcPr>
          <w:p w14:paraId="7437888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17E24B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2F539A2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354DDF4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695442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4EEFBF6"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04_154_0104_6_1_T</w:t>
            </w:r>
          </w:p>
        </w:tc>
        <w:tc>
          <w:tcPr>
            <w:tcW w:w="5670" w:type="dxa"/>
            <w:noWrap/>
            <w:vAlign w:val="center"/>
            <w:hideMark/>
          </w:tcPr>
          <w:p w14:paraId="7F44D00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Sunday - TTP</w:t>
            </w:r>
          </w:p>
        </w:tc>
        <w:tc>
          <w:tcPr>
            <w:tcW w:w="2268" w:type="dxa"/>
            <w:noWrap/>
            <w:vAlign w:val="center"/>
            <w:hideMark/>
          </w:tcPr>
          <w:p w14:paraId="0DED773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A02FE0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0FD7265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4BE7618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68C563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7651471"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04_155_0104_6_1</w:t>
            </w:r>
          </w:p>
        </w:tc>
        <w:tc>
          <w:tcPr>
            <w:tcW w:w="5670" w:type="dxa"/>
            <w:noWrap/>
            <w:vAlign w:val="center"/>
            <w:hideMark/>
          </w:tcPr>
          <w:p w14:paraId="6BCDFF5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Public Holiday</w:t>
            </w:r>
          </w:p>
        </w:tc>
        <w:tc>
          <w:tcPr>
            <w:tcW w:w="2268" w:type="dxa"/>
            <w:noWrap/>
            <w:vAlign w:val="center"/>
            <w:hideMark/>
          </w:tcPr>
          <w:p w14:paraId="58C90FE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47421C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63FC73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7CAB4F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102D8F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0D485ED"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04_155_0104_6_1_T</w:t>
            </w:r>
          </w:p>
        </w:tc>
        <w:tc>
          <w:tcPr>
            <w:tcW w:w="5670" w:type="dxa"/>
            <w:noWrap/>
            <w:vAlign w:val="center"/>
            <w:hideMark/>
          </w:tcPr>
          <w:p w14:paraId="7422980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The Community - 1:5 - Complex - Public Holiday - TTP</w:t>
            </w:r>
          </w:p>
        </w:tc>
        <w:tc>
          <w:tcPr>
            <w:tcW w:w="2268" w:type="dxa"/>
            <w:noWrap/>
            <w:vAlign w:val="center"/>
            <w:hideMark/>
          </w:tcPr>
          <w:p w14:paraId="6E2E666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51C905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3D8F46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2524D4C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DBC231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5494D7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04_160_0136_6_1</w:t>
            </w:r>
          </w:p>
        </w:tc>
        <w:tc>
          <w:tcPr>
            <w:tcW w:w="5670" w:type="dxa"/>
            <w:noWrap/>
            <w:vAlign w:val="center"/>
            <w:hideMark/>
          </w:tcPr>
          <w:p w14:paraId="582CFB9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Weekday</w:t>
            </w:r>
          </w:p>
        </w:tc>
        <w:tc>
          <w:tcPr>
            <w:tcW w:w="2268" w:type="dxa"/>
            <w:noWrap/>
            <w:vAlign w:val="center"/>
            <w:hideMark/>
          </w:tcPr>
          <w:p w14:paraId="50BC75E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9049CB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0FC612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D291FF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9C748A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59C0E50"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04_160_0136_6_1_T</w:t>
            </w:r>
          </w:p>
        </w:tc>
        <w:tc>
          <w:tcPr>
            <w:tcW w:w="5670" w:type="dxa"/>
            <w:noWrap/>
            <w:vAlign w:val="center"/>
            <w:hideMark/>
          </w:tcPr>
          <w:p w14:paraId="0EDDF9C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Weekday Daytime - TTP</w:t>
            </w:r>
          </w:p>
        </w:tc>
        <w:tc>
          <w:tcPr>
            <w:tcW w:w="2268" w:type="dxa"/>
            <w:noWrap/>
            <w:vAlign w:val="center"/>
            <w:hideMark/>
          </w:tcPr>
          <w:p w14:paraId="74C4955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4A23E7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F42371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A473BA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81A3AD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D3B459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04_161_0136_6_1</w:t>
            </w:r>
          </w:p>
        </w:tc>
        <w:tc>
          <w:tcPr>
            <w:tcW w:w="5670" w:type="dxa"/>
            <w:noWrap/>
            <w:vAlign w:val="center"/>
            <w:hideMark/>
          </w:tcPr>
          <w:p w14:paraId="75E8EB7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Weekday Afternoon</w:t>
            </w:r>
          </w:p>
        </w:tc>
        <w:tc>
          <w:tcPr>
            <w:tcW w:w="2268" w:type="dxa"/>
            <w:noWrap/>
            <w:vAlign w:val="center"/>
            <w:hideMark/>
          </w:tcPr>
          <w:p w14:paraId="039F51D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2134B6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940349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7F2D4E1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9148C9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14F8265"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04_161_0136_6_1_T</w:t>
            </w:r>
          </w:p>
        </w:tc>
        <w:tc>
          <w:tcPr>
            <w:tcW w:w="5670" w:type="dxa"/>
            <w:noWrap/>
            <w:vAlign w:val="center"/>
            <w:hideMark/>
          </w:tcPr>
          <w:p w14:paraId="124A636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Weekday Afternoon - TTP</w:t>
            </w:r>
          </w:p>
        </w:tc>
        <w:tc>
          <w:tcPr>
            <w:tcW w:w="2268" w:type="dxa"/>
            <w:noWrap/>
            <w:vAlign w:val="center"/>
            <w:hideMark/>
          </w:tcPr>
          <w:p w14:paraId="4AD4A3C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A9B49E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26F097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48CC1A2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42EB83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462FDDD"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04_162_0136_6_1</w:t>
            </w:r>
          </w:p>
        </w:tc>
        <w:tc>
          <w:tcPr>
            <w:tcW w:w="5670" w:type="dxa"/>
            <w:noWrap/>
            <w:vAlign w:val="center"/>
            <w:hideMark/>
          </w:tcPr>
          <w:p w14:paraId="64B1BBC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Saturday</w:t>
            </w:r>
          </w:p>
        </w:tc>
        <w:tc>
          <w:tcPr>
            <w:tcW w:w="2268" w:type="dxa"/>
            <w:noWrap/>
            <w:vAlign w:val="center"/>
            <w:hideMark/>
          </w:tcPr>
          <w:p w14:paraId="117EDAB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A98F17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8739C3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363E041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071A76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F5E3774"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04_162_0136_6_1_T</w:t>
            </w:r>
          </w:p>
        </w:tc>
        <w:tc>
          <w:tcPr>
            <w:tcW w:w="5670" w:type="dxa"/>
            <w:noWrap/>
            <w:vAlign w:val="center"/>
            <w:hideMark/>
          </w:tcPr>
          <w:p w14:paraId="2C82215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Saturday - TTP</w:t>
            </w:r>
          </w:p>
        </w:tc>
        <w:tc>
          <w:tcPr>
            <w:tcW w:w="2268" w:type="dxa"/>
            <w:noWrap/>
            <w:vAlign w:val="center"/>
            <w:hideMark/>
          </w:tcPr>
          <w:p w14:paraId="1745523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9707C8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B66DBE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440F0CF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D630D0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3306A1E"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04_163_0136_6_1</w:t>
            </w:r>
          </w:p>
        </w:tc>
        <w:tc>
          <w:tcPr>
            <w:tcW w:w="5670" w:type="dxa"/>
            <w:noWrap/>
            <w:vAlign w:val="center"/>
            <w:hideMark/>
          </w:tcPr>
          <w:p w14:paraId="2363EE3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Sunday</w:t>
            </w:r>
          </w:p>
        </w:tc>
        <w:tc>
          <w:tcPr>
            <w:tcW w:w="2268" w:type="dxa"/>
            <w:noWrap/>
            <w:vAlign w:val="center"/>
            <w:hideMark/>
          </w:tcPr>
          <w:p w14:paraId="4BB6B4C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B423FB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79307E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EA2FA2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E99F5A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BF75FC4"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04_163_0136_6_1_T</w:t>
            </w:r>
          </w:p>
        </w:tc>
        <w:tc>
          <w:tcPr>
            <w:tcW w:w="5670" w:type="dxa"/>
            <w:noWrap/>
            <w:vAlign w:val="center"/>
            <w:hideMark/>
          </w:tcPr>
          <w:p w14:paraId="6C21D21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Sunday - TTP</w:t>
            </w:r>
          </w:p>
        </w:tc>
        <w:tc>
          <w:tcPr>
            <w:tcW w:w="2268" w:type="dxa"/>
            <w:noWrap/>
            <w:vAlign w:val="center"/>
            <w:hideMark/>
          </w:tcPr>
          <w:p w14:paraId="6884DDA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C37EC5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8739B6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61E972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D9E1C6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37302BA"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04_164_0136_6_1</w:t>
            </w:r>
          </w:p>
        </w:tc>
        <w:tc>
          <w:tcPr>
            <w:tcW w:w="5670" w:type="dxa"/>
            <w:noWrap/>
            <w:vAlign w:val="center"/>
            <w:hideMark/>
          </w:tcPr>
          <w:p w14:paraId="1E3C96C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Public Holiday</w:t>
            </w:r>
          </w:p>
        </w:tc>
        <w:tc>
          <w:tcPr>
            <w:tcW w:w="2268" w:type="dxa"/>
            <w:noWrap/>
            <w:vAlign w:val="center"/>
            <w:hideMark/>
          </w:tcPr>
          <w:p w14:paraId="157117D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EACCB9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60ACE4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57972CC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2F1B60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5B52950"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04_164_0136_6_1_T</w:t>
            </w:r>
          </w:p>
        </w:tc>
        <w:tc>
          <w:tcPr>
            <w:tcW w:w="5670" w:type="dxa"/>
            <w:noWrap/>
            <w:vAlign w:val="center"/>
            <w:hideMark/>
          </w:tcPr>
          <w:p w14:paraId="61FE9FE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Standard - Public Holiday - TTP</w:t>
            </w:r>
          </w:p>
        </w:tc>
        <w:tc>
          <w:tcPr>
            <w:tcW w:w="2268" w:type="dxa"/>
            <w:noWrap/>
            <w:vAlign w:val="center"/>
            <w:hideMark/>
          </w:tcPr>
          <w:p w14:paraId="00484EF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109ED2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4DB334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084B11A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A978F2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DE0C30B"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04_165_0136_6_1</w:t>
            </w:r>
          </w:p>
        </w:tc>
        <w:tc>
          <w:tcPr>
            <w:tcW w:w="5670" w:type="dxa"/>
            <w:noWrap/>
            <w:vAlign w:val="center"/>
            <w:hideMark/>
          </w:tcPr>
          <w:p w14:paraId="42A7660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Weekday Daytime</w:t>
            </w:r>
          </w:p>
        </w:tc>
        <w:tc>
          <w:tcPr>
            <w:tcW w:w="2268" w:type="dxa"/>
            <w:noWrap/>
            <w:vAlign w:val="center"/>
            <w:hideMark/>
          </w:tcPr>
          <w:p w14:paraId="2B02A72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FD3B0B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72EB6F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762D155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8ED72A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35AC292"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04_165_0136_6_1_T</w:t>
            </w:r>
          </w:p>
        </w:tc>
        <w:tc>
          <w:tcPr>
            <w:tcW w:w="5670" w:type="dxa"/>
            <w:noWrap/>
            <w:vAlign w:val="center"/>
            <w:hideMark/>
          </w:tcPr>
          <w:p w14:paraId="2BE7563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Weekday Daytime - TTP</w:t>
            </w:r>
          </w:p>
        </w:tc>
        <w:tc>
          <w:tcPr>
            <w:tcW w:w="2268" w:type="dxa"/>
            <w:noWrap/>
            <w:vAlign w:val="center"/>
            <w:hideMark/>
          </w:tcPr>
          <w:p w14:paraId="64E393D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9AC3FE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01B763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893609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2FDB36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85506F5"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04_166_0136_6_1</w:t>
            </w:r>
          </w:p>
        </w:tc>
        <w:tc>
          <w:tcPr>
            <w:tcW w:w="5670" w:type="dxa"/>
            <w:noWrap/>
            <w:vAlign w:val="center"/>
            <w:hideMark/>
          </w:tcPr>
          <w:p w14:paraId="40F889A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Weekday Afternoon</w:t>
            </w:r>
          </w:p>
        </w:tc>
        <w:tc>
          <w:tcPr>
            <w:tcW w:w="2268" w:type="dxa"/>
            <w:noWrap/>
            <w:vAlign w:val="center"/>
            <w:hideMark/>
          </w:tcPr>
          <w:p w14:paraId="19C551F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1E62E1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68345D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651BB50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9BEA6C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9D83DAE"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04_166_0136_6_1_T</w:t>
            </w:r>
          </w:p>
        </w:tc>
        <w:tc>
          <w:tcPr>
            <w:tcW w:w="5670" w:type="dxa"/>
            <w:noWrap/>
            <w:vAlign w:val="center"/>
            <w:hideMark/>
          </w:tcPr>
          <w:p w14:paraId="47C2E5C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Weekday Afternoon - TTP</w:t>
            </w:r>
          </w:p>
        </w:tc>
        <w:tc>
          <w:tcPr>
            <w:tcW w:w="2268" w:type="dxa"/>
            <w:noWrap/>
            <w:vAlign w:val="center"/>
            <w:hideMark/>
          </w:tcPr>
          <w:p w14:paraId="1AF695A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0D9147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2F40F4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07FAC0A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2119CD8"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2119831"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04_167_0136_6_1</w:t>
            </w:r>
          </w:p>
        </w:tc>
        <w:tc>
          <w:tcPr>
            <w:tcW w:w="5670" w:type="dxa"/>
            <w:noWrap/>
            <w:vAlign w:val="center"/>
            <w:hideMark/>
          </w:tcPr>
          <w:p w14:paraId="58087B3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Saturday</w:t>
            </w:r>
          </w:p>
        </w:tc>
        <w:tc>
          <w:tcPr>
            <w:tcW w:w="2268" w:type="dxa"/>
            <w:noWrap/>
            <w:vAlign w:val="center"/>
            <w:hideMark/>
          </w:tcPr>
          <w:p w14:paraId="586D0BD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A6CC6F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A190B7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DD93D4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6EF780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8BAFD8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04_167_0136_6_1_T</w:t>
            </w:r>
          </w:p>
        </w:tc>
        <w:tc>
          <w:tcPr>
            <w:tcW w:w="5670" w:type="dxa"/>
            <w:noWrap/>
            <w:vAlign w:val="center"/>
            <w:hideMark/>
          </w:tcPr>
          <w:p w14:paraId="289E30C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Saturday - TTP</w:t>
            </w:r>
          </w:p>
        </w:tc>
        <w:tc>
          <w:tcPr>
            <w:tcW w:w="2268" w:type="dxa"/>
            <w:noWrap/>
            <w:vAlign w:val="center"/>
            <w:hideMark/>
          </w:tcPr>
          <w:p w14:paraId="57C2870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CC3FD7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5DFFF8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D5B699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792520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BDBEBF8"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04_168_0136_6_1</w:t>
            </w:r>
          </w:p>
        </w:tc>
        <w:tc>
          <w:tcPr>
            <w:tcW w:w="5670" w:type="dxa"/>
            <w:noWrap/>
            <w:vAlign w:val="center"/>
            <w:hideMark/>
          </w:tcPr>
          <w:p w14:paraId="3EF883F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Sunday</w:t>
            </w:r>
          </w:p>
        </w:tc>
        <w:tc>
          <w:tcPr>
            <w:tcW w:w="2268" w:type="dxa"/>
            <w:noWrap/>
            <w:vAlign w:val="center"/>
            <w:hideMark/>
          </w:tcPr>
          <w:p w14:paraId="5EEBE37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A82175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BC50BB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15E3E8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454800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360E5B4"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04_168_0136_6_1_T</w:t>
            </w:r>
          </w:p>
        </w:tc>
        <w:tc>
          <w:tcPr>
            <w:tcW w:w="5670" w:type="dxa"/>
            <w:noWrap/>
            <w:vAlign w:val="center"/>
            <w:hideMark/>
          </w:tcPr>
          <w:p w14:paraId="3758EF1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Sunday - TTP</w:t>
            </w:r>
          </w:p>
        </w:tc>
        <w:tc>
          <w:tcPr>
            <w:tcW w:w="2268" w:type="dxa"/>
            <w:noWrap/>
            <w:vAlign w:val="center"/>
            <w:hideMark/>
          </w:tcPr>
          <w:p w14:paraId="69D9819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84CC90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4C90F9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006741D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BCFEE8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8BFB675"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04_169_0136_6_1</w:t>
            </w:r>
          </w:p>
        </w:tc>
        <w:tc>
          <w:tcPr>
            <w:tcW w:w="5670" w:type="dxa"/>
            <w:noWrap/>
            <w:vAlign w:val="center"/>
            <w:hideMark/>
          </w:tcPr>
          <w:p w14:paraId="3DC74D4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Public Holiday</w:t>
            </w:r>
          </w:p>
        </w:tc>
        <w:tc>
          <w:tcPr>
            <w:tcW w:w="2268" w:type="dxa"/>
            <w:noWrap/>
            <w:vAlign w:val="center"/>
            <w:hideMark/>
          </w:tcPr>
          <w:p w14:paraId="21ED41B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5FFFFF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90BC72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03E3F8E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3E99DB2"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2FDED75"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04_169_0136_6_1_T</w:t>
            </w:r>
          </w:p>
        </w:tc>
        <w:tc>
          <w:tcPr>
            <w:tcW w:w="5670" w:type="dxa"/>
            <w:noWrap/>
            <w:vAlign w:val="center"/>
            <w:hideMark/>
          </w:tcPr>
          <w:p w14:paraId="728B817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Standard - Public Holiday - TTP</w:t>
            </w:r>
          </w:p>
        </w:tc>
        <w:tc>
          <w:tcPr>
            <w:tcW w:w="2268" w:type="dxa"/>
            <w:noWrap/>
            <w:vAlign w:val="center"/>
            <w:hideMark/>
          </w:tcPr>
          <w:p w14:paraId="6CF3660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09E480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33D150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95C45A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C495C5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45370B5"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04_170_0136_6_1</w:t>
            </w:r>
          </w:p>
        </w:tc>
        <w:tc>
          <w:tcPr>
            <w:tcW w:w="5670" w:type="dxa"/>
            <w:noWrap/>
            <w:vAlign w:val="center"/>
            <w:hideMark/>
          </w:tcPr>
          <w:p w14:paraId="2017AEB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Weekday Daytime</w:t>
            </w:r>
          </w:p>
        </w:tc>
        <w:tc>
          <w:tcPr>
            <w:tcW w:w="2268" w:type="dxa"/>
            <w:noWrap/>
            <w:vAlign w:val="center"/>
            <w:hideMark/>
          </w:tcPr>
          <w:p w14:paraId="4795751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BBA0DC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BAF995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A9B20E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C349DA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5692297"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04_170_0136_6_1_T</w:t>
            </w:r>
          </w:p>
        </w:tc>
        <w:tc>
          <w:tcPr>
            <w:tcW w:w="5670" w:type="dxa"/>
            <w:noWrap/>
            <w:vAlign w:val="center"/>
            <w:hideMark/>
          </w:tcPr>
          <w:p w14:paraId="5D60EDA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Weekday Daytime - TTP</w:t>
            </w:r>
          </w:p>
        </w:tc>
        <w:tc>
          <w:tcPr>
            <w:tcW w:w="2268" w:type="dxa"/>
            <w:noWrap/>
            <w:vAlign w:val="center"/>
            <w:hideMark/>
          </w:tcPr>
          <w:p w14:paraId="6A89B74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048B43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036C69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06DB7E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EA29CA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990610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04_171_0136_6_1</w:t>
            </w:r>
          </w:p>
        </w:tc>
        <w:tc>
          <w:tcPr>
            <w:tcW w:w="5670" w:type="dxa"/>
            <w:noWrap/>
            <w:vAlign w:val="center"/>
            <w:hideMark/>
          </w:tcPr>
          <w:p w14:paraId="62E87D6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Weekday Afternoon</w:t>
            </w:r>
          </w:p>
        </w:tc>
        <w:tc>
          <w:tcPr>
            <w:tcW w:w="2268" w:type="dxa"/>
            <w:noWrap/>
            <w:vAlign w:val="center"/>
            <w:hideMark/>
          </w:tcPr>
          <w:p w14:paraId="0C1FA30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4BED9E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8BA44E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3CF1ADB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95B015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F61661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04_171_0136_6_1_T</w:t>
            </w:r>
          </w:p>
        </w:tc>
        <w:tc>
          <w:tcPr>
            <w:tcW w:w="5670" w:type="dxa"/>
            <w:noWrap/>
            <w:vAlign w:val="center"/>
            <w:hideMark/>
          </w:tcPr>
          <w:p w14:paraId="3696B15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Weekday Afternoon - TTP</w:t>
            </w:r>
          </w:p>
        </w:tc>
        <w:tc>
          <w:tcPr>
            <w:tcW w:w="2268" w:type="dxa"/>
            <w:noWrap/>
            <w:vAlign w:val="center"/>
            <w:hideMark/>
          </w:tcPr>
          <w:p w14:paraId="4E1E0B6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1A956F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87A6A6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5B5079B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47E84C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34FD4A6"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04_172_0136_6_1</w:t>
            </w:r>
          </w:p>
        </w:tc>
        <w:tc>
          <w:tcPr>
            <w:tcW w:w="5670" w:type="dxa"/>
            <w:noWrap/>
            <w:vAlign w:val="center"/>
            <w:hideMark/>
          </w:tcPr>
          <w:p w14:paraId="589DE74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Saturday</w:t>
            </w:r>
          </w:p>
        </w:tc>
        <w:tc>
          <w:tcPr>
            <w:tcW w:w="2268" w:type="dxa"/>
            <w:noWrap/>
            <w:vAlign w:val="center"/>
            <w:hideMark/>
          </w:tcPr>
          <w:p w14:paraId="3CBE7C1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2AC3EE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4F5D9A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76AB4B8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842550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4B8288C"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04_172_0136_6_1_T</w:t>
            </w:r>
          </w:p>
        </w:tc>
        <w:tc>
          <w:tcPr>
            <w:tcW w:w="5670" w:type="dxa"/>
            <w:noWrap/>
            <w:vAlign w:val="center"/>
            <w:hideMark/>
          </w:tcPr>
          <w:p w14:paraId="47F8586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Saturday - TTP</w:t>
            </w:r>
          </w:p>
        </w:tc>
        <w:tc>
          <w:tcPr>
            <w:tcW w:w="2268" w:type="dxa"/>
            <w:noWrap/>
            <w:vAlign w:val="center"/>
            <w:hideMark/>
          </w:tcPr>
          <w:p w14:paraId="1D65381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F24E8A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5FE078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0D740DCE"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293DAF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3C5BCEC"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04_173_0136_6_1</w:t>
            </w:r>
          </w:p>
        </w:tc>
        <w:tc>
          <w:tcPr>
            <w:tcW w:w="5670" w:type="dxa"/>
            <w:noWrap/>
            <w:vAlign w:val="center"/>
            <w:hideMark/>
          </w:tcPr>
          <w:p w14:paraId="33ED847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Sunday</w:t>
            </w:r>
          </w:p>
        </w:tc>
        <w:tc>
          <w:tcPr>
            <w:tcW w:w="2268" w:type="dxa"/>
            <w:noWrap/>
            <w:vAlign w:val="center"/>
            <w:hideMark/>
          </w:tcPr>
          <w:p w14:paraId="39FFEE8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A6E58F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65867E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6896F72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3EC571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D44537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04_173_0136_6_1_T</w:t>
            </w:r>
          </w:p>
        </w:tc>
        <w:tc>
          <w:tcPr>
            <w:tcW w:w="5670" w:type="dxa"/>
            <w:noWrap/>
            <w:vAlign w:val="center"/>
            <w:hideMark/>
          </w:tcPr>
          <w:p w14:paraId="4142708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Sunday - TTP</w:t>
            </w:r>
          </w:p>
        </w:tc>
        <w:tc>
          <w:tcPr>
            <w:tcW w:w="2268" w:type="dxa"/>
            <w:noWrap/>
            <w:vAlign w:val="center"/>
            <w:hideMark/>
          </w:tcPr>
          <w:p w14:paraId="2CE4688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18AC95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45A5D8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9C2DED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B18B66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CD5FDE7"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04_174_0136_6_1</w:t>
            </w:r>
          </w:p>
        </w:tc>
        <w:tc>
          <w:tcPr>
            <w:tcW w:w="5670" w:type="dxa"/>
            <w:noWrap/>
            <w:vAlign w:val="center"/>
            <w:hideMark/>
          </w:tcPr>
          <w:p w14:paraId="087A33A7"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Public Holiday</w:t>
            </w:r>
          </w:p>
        </w:tc>
        <w:tc>
          <w:tcPr>
            <w:tcW w:w="2268" w:type="dxa"/>
            <w:noWrap/>
            <w:vAlign w:val="center"/>
            <w:hideMark/>
          </w:tcPr>
          <w:p w14:paraId="531C520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082BD0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29A155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5C30E6F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42634B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E1B7A51"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04_174_0136_6_1_T</w:t>
            </w:r>
          </w:p>
        </w:tc>
        <w:tc>
          <w:tcPr>
            <w:tcW w:w="5670" w:type="dxa"/>
            <w:noWrap/>
            <w:vAlign w:val="center"/>
            <w:hideMark/>
          </w:tcPr>
          <w:p w14:paraId="5F3065E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Standard - Public Holiday - TTP</w:t>
            </w:r>
          </w:p>
        </w:tc>
        <w:tc>
          <w:tcPr>
            <w:tcW w:w="2268" w:type="dxa"/>
            <w:noWrap/>
            <w:vAlign w:val="center"/>
            <w:hideMark/>
          </w:tcPr>
          <w:p w14:paraId="5EC1CE5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C14E83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91E852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02E772A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959FA9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8C0B48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04_175_0136_6_1</w:t>
            </w:r>
          </w:p>
        </w:tc>
        <w:tc>
          <w:tcPr>
            <w:tcW w:w="5670" w:type="dxa"/>
            <w:noWrap/>
            <w:vAlign w:val="center"/>
            <w:hideMark/>
          </w:tcPr>
          <w:p w14:paraId="23DABFC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Weekday Daytime</w:t>
            </w:r>
          </w:p>
        </w:tc>
        <w:tc>
          <w:tcPr>
            <w:tcW w:w="2268" w:type="dxa"/>
            <w:noWrap/>
            <w:vAlign w:val="center"/>
            <w:hideMark/>
          </w:tcPr>
          <w:p w14:paraId="19FB316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4A3BBB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864961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5DF0F4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1B7BF7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BEF975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04_175_0136_6_1_T</w:t>
            </w:r>
          </w:p>
        </w:tc>
        <w:tc>
          <w:tcPr>
            <w:tcW w:w="5670" w:type="dxa"/>
            <w:noWrap/>
            <w:vAlign w:val="center"/>
            <w:hideMark/>
          </w:tcPr>
          <w:p w14:paraId="518D198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Weekday Daytime - TTP</w:t>
            </w:r>
          </w:p>
        </w:tc>
        <w:tc>
          <w:tcPr>
            <w:tcW w:w="2268" w:type="dxa"/>
            <w:noWrap/>
            <w:vAlign w:val="center"/>
            <w:hideMark/>
          </w:tcPr>
          <w:p w14:paraId="2D1929B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962D50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F93758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7710FC9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C19248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1392D7E"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04_176_0136_6_1</w:t>
            </w:r>
          </w:p>
        </w:tc>
        <w:tc>
          <w:tcPr>
            <w:tcW w:w="5670" w:type="dxa"/>
            <w:noWrap/>
            <w:vAlign w:val="center"/>
            <w:hideMark/>
          </w:tcPr>
          <w:p w14:paraId="69931EE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Weekday Afternoon</w:t>
            </w:r>
          </w:p>
        </w:tc>
        <w:tc>
          <w:tcPr>
            <w:tcW w:w="2268" w:type="dxa"/>
            <w:noWrap/>
            <w:vAlign w:val="center"/>
            <w:hideMark/>
          </w:tcPr>
          <w:p w14:paraId="4C146AF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659502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B65367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24E68F6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7577A7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B9B70BD"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04_176_0136_6_1_T</w:t>
            </w:r>
          </w:p>
        </w:tc>
        <w:tc>
          <w:tcPr>
            <w:tcW w:w="5670" w:type="dxa"/>
            <w:noWrap/>
            <w:vAlign w:val="center"/>
            <w:hideMark/>
          </w:tcPr>
          <w:p w14:paraId="0540DBC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Weekday Afternoon - TTP</w:t>
            </w:r>
          </w:p>
        </w:tc>
        <w:tc>
          <w:tcPr>
            <w:tcW w:w="2268" w:type="dxa"/>
            <w:noWrap/>
            <w:vAlign w:val="center"/>
            <w:hideMark/>
          </w:tcPr>
          <w:p w14:paraId="243B2D7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D4C0A7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93A681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10B7698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B96D09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2010F34"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04_177_0136_6_1</w:t>
            </w:r>
          </w:p>
        </w:tc>
        <w:tc>
          <w:tcPr>
            <w:tcW w:w="5670" w:type="dxa"/>
            <w:noWrap/>
            <w:vAlign w:val="center"/>
            <w:hideMark/>
          </w:tcPr>
          <w:p w14:paraId="1DB102A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Saturday</w:t>
            </w:r>
          </w:p>
        </w:tc>
        <w:tc>
          <w:tcPr>
            <w:tcW w:w="2268" w:type="dxa"/>
            <w:noWrap/>
            <w:vAlign w:val="center"/>
            <w:hideMark/>
          </w:tcPr>
          <w:p w14:paraId="2AC076F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4A0026C"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989C14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34C884AE"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76D0CB3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3CC1DD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04_177_0136_6_1_T</w:t>
            </w:r>
          </w:p>
        </w:tc>
        <w:tc>
          <w:tcPr>
            <w:tcW w:w="5670" w:type="dxa"/>
            <w:noWrap/>
            <w:vAlign w:val="center"/>
            <w:hideMark/>
          </w:tcPr>
          <w:p w14:paraId="38A1D92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Saturday - TTP</w:t>
            </w:r>
          </w:p>
        </w:tc>
        <w:tc>
          <w:tcPr>
            <w:tcW w:w="2268" w:type="dxa"/>
            <w:noWrap/>
            <w:vAlign w:val="center"/>
            <w:hideMark/>
          </w:tcPr>
          <w:p w14:paraId="3413DC3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8F5302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1445A9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65570A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4388B0E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3107DBB"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04_178_0136_6_1</w:t>
            </w:r>
          </w:p>
        </w:tc>
        <w:tc>
          <w:tcPr>
            <w:tcW w:w="5670" w:type="dxa"/>
            <w:noWrap/>
            <w:vAlign w:val="center"/>
            <w:hideMark/>
          </w:tcPr>
          <w:p w14:paraId="6AB441E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Sunday</w:t>
            </w:r>
          </w:p>
        </w:tc>
        <w:tc>
          <w:tcPr>
            <w:tcW w:w="2268" w:type="dxa"/>
            <w:noWrap/>
            <w:vAlign w:val="center"/>
            <w:hideMark/>
          </w:tcPr>
          <w:p w14:paraId="2050318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F87D06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85284D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0BDFC6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FB19D2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DF7F585"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04_178_0136_6_1_T</w:t>
            </w:r>
          </w:p>
        </w:tc>
        <w:tc>
          <w:tcPr>
            <w:tcW w:w="5670" w:type="dxa"/>
            <w:noWrap/>
            <w:vAlign w:val="center"/>
            <w:hideMark/>
          </w:tcPr>
          <w:p w14:paraId="5C92DA7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Sunday - TTP</w:t>
            </w:r>
          </w:p>
        </w:tc>
        <w:tc>
          <w:tcPr>
            <w:tcW w:w="2268" w:type="dxa"/>
            <w:noWrap/>
            <w:vAlign w:val="center"/>
            <w:hideMark/>
          </w:tcPr>
          <w:p w14:paraId="08D3D77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1FE51C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4939C0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3DD4970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7661DC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BE716A4"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04_179_0136_6_1</w:t>
            </w:r>
          </w:p>
        </w:tc>
        <w:tc>
          <w:tcPr>
            <w:tcW w:w="5670" w:type="dxa"/>
            <w:noWrap/>
            <w:vAlign w:val="center"/>
            <w:hideMark/>
          </w:tcPr>
          <w:p w14:paraId="6B5C8F3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Public Holiday</w:t>
            </w:r>
          </w:p>
        </w:tc>
        <w:tc>
          <w:tcPr>
            <w:tcW w:w="2268" w:type="dxa"/>
            <w:noWrap/>
            <w:vAlign w:val="center"/>
            <w:hideMark/>
          </w:tcPr>
          <w:p w14:paraId="58EFBBC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0047A9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6DEF76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72C4EA8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B585FC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39121F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04_179_0136_6_1_T</w:t>
            </w:r>
          </w:p>
        </w:tc>
        <w:tc>
          <w:tcPr>
            <w:tcW w:w="5670" w:type="dxa"/>
            <w:noWrap/>
            <w:vAlign w:val="center"/>
            <w:hideMark/>
          </w:tcPr>
          <w:p w14:paraId="21D04C2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Standard - Public Holiday - TTP</w:t>
            </w:r>
          </w:p>
        </w:tc>
        <w:tc>
          <w:tcPr>
            <w:tcW w:w="2268" w:type="dxa"/>
            <w:noWrap/>
            <w:vAlign w:val="center"/>
            <w:hideMark/>
          </w:tcPr>
          <w:p w14:paraId="4F057AB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0416119"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736D2C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5D40D5D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F031CB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85EA0B2"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04_180_0136_6_1</w:t>
            </w:r>
          </w:p>
        </w:tc>
        <w:tc>
          <w:tcPr>
            <w:tcW w:w="5670" w:type="dxa"/>
            <w:noWrap/>
            <w:vAlign w:val="center"/>
            <w:hideMark/>
          </w:tcPr>
          <w:p w14:paraId="514792D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Weekday Daytime</w:t>
            </w:r>
          </w:p>
        </w:tc>
        <w:tc>
          <w:tcPr>
            <w:tcW w:w="2268" w:type="dxa"/>
            <w:noWrap/>
            <w:vAlign w:val="center"/>
            <w:hideMark/>
          </w:tcPr>
          <w:p w14:paraId="41DA566B"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03225C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EE12EF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FD4BA7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6ACE78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570462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04_180_0136_6_1_T</w:t>
            </w:r>
          </w:p>
        </w:tc>
        <w:tc>
          <w:tcPr>
            <w:tcW w:w="5670" w:type="dxa"/>
            <w:noWrap/>
            <w:vAlign w:val="center"/>
            <w:hideMark/>
          </w:tcPr>
          <w:p w14:paraId="3F404B8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Weekday Daytime - TTP</w:t>
            </w:r>
          </w:p>
        </w:tc>
        <w:tc>
          <w:tcPr>
            <w:tcW w:w="2268" w:type="dxa"/>
            <w:noWrap/>
            <w:vAlign w:val="center"/>
            <w:hideMark/>
          </w:tcPr>
          <w:p w14:paraId="209ED34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81B7AE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147717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4CD807B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DA8EE6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239E22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04_181_0136_6_1</w:t>
            </w:r>
          </w:p>
        </w:tc>
        <w:tc>
          <w:tcPr>
            <w:tcW w:w="5670" w:type="dxa"/>
            <w:noWrap/>
            <w:vAlign w:val="center"/>
            <w:hideMark/>
          </w:tcPr>
          <w:p w14:paraId="01A6DFE6"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Weekday Afternoon</w:t>
            </w:r>
          </w:p>
        </w:tc>
        <w:tc>
          <w:tcPr>
            <w:tcW w:w="2268" w:type="dxa"/>
            <w:noWrap/>
            <w:vAlign w:val="center"/>
            <w:hideMark/>
          </w:tcPr>
          <w:p w14:paraId="79E81E3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8DC4CD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67D912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6A356678"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B0B8CA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4CD981D"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04_181_0136_6_1_T</w:t>
            </w:r>
          </w:p>
        </w:tc>
        <w:tc>
          <w:tcPr>
            <w:tcW w:w="5670" w:type="dxa"/>
            <w:noWrap/>
            <w:vAlign w:val="center"/>
            <w:hideMark/>
          </w:tcPr>
          <w:p w14:paraId="0E51761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Weekday Afternoon - TTP</w:t>
            </w:r>
          </w:p>
        </w:tc>
        <w:tc>
          <w:tcPr>
            <w:tcW w:w="2268" w:type="dxa"/>
            <w:noWrap/>
            <w:vAlign w:val="center"/>
            <w:hideMark/>
          </w:tcPr>
          <w:p w14:paraId="662B227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FD5591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6C698FF"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1BE854D7"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49165C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51FC69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04_182_0136_6_1</w:t>
            </w:r>
          </w:p>
        </w:tc>
        <w:tc>
          <w:tcPr>
            <w:tcW w:w="5670" w:type="dxa"/>
            <w:noWrap/>
            <w:vAlign w:val="center"/>
            <w:hideMark/>
          </w:tcPr>
          <w:p w14:paraId="6F13A77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Saturday</w:t>
            </w:r>
          </w:p>
        </w:tc>
        <w:tc>
          <w:tcPr>
            <w:tcW w:w="2268" w:type="dxa"/>
            <w:noWrap/>
            <w:vAlign w:val="center"/>
            <w:hideMark/>
          </w:tcPr>
          <w:p w14:paraId="600B602F"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F75C58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42715A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7A7639B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15A7A39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8FAF2B0"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04_182_0136_6_1_T</w:t>
            </w:r>
          </w:p>
        </w:tc>
        <w:tc>
          <w:tcPr>
            <w:tcW w:w="5670" w:type="dxa"/>
            <w:noWrap/>
            <w:vAlign w:val="center"/>
            <w:hideMark/>
          </w:tcPr>
          <w:p w14:paraId="4E3D30E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Saturday - TTP</w:t>
            </w:r>
          </w:p>
        </w:tc>
        <w:tc>
          <w:tcPr>
            <w:tcW w:w="2268" w:type="dxa"/>
            <w:noWrap/>
            <w:vAlign w:val="center"/>
            <w:hideMark/>
          </w:tcPr>
          <w:p w14:paraId="1C89647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DE0B1B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00F0DC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C8F6F25"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0FF07E6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B3C1785"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04_183_0136_6_1</w:t>
            </w:r>
          </w:p>
        </w:tc>
        <w:tc>
          <w:tcPr>
            <w:tcW w:w="5670" w:type="dxa"/>
            <w:noWrap/>
            <w:vAlign w:val="center"/>
            <w:hideMark/>
          </w:tcPr>
          <w:p w14:paraId="2B5F3B95"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Sunday</w:t>
            </w:r>
          </w:p>
        </w:tc>
        <w:tc>
          <w:tcPr>
            <w:tcW w:w="2268" w:type="dxa"/>
            <w:noWrap/>
            <w:vAlign w:val="center"/>
            <w:hideMark/>
          </w:tcPr>
          <w:p w14:paraId="7F7D9D0A"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0FE87A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FA64D90"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9FA3C8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55B7892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82EF9C9"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04_183_0136_6_1_T</w:t>
            </w:r>
          </w:p>
        </w:tc>
        <w:tc>
          <w:tcPr>
            <w:tcW w:w="5670" w:type="dxa"/>
            <w:noWrap/>
            <w:vAlign w:val="center"/>
            <w:hideMark/>
          </w:tcPr>
          <w:p w14:paraId="5D3153DB"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Sunday - TTP</w:t>
            </w:r>
          </w:p>
        </w:tc>
        <w:tc>
          <w:tcPr>
            <w:tcW w:w="2268" w:type="dxa"/>
            <w:noWrap/>
            <w:vAlign w:val="center"/>
            <w:hideMark/>
          </w:tcPr>
          <w:p w14:paraId="486AEF7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971B28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9DB8A8A"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665E9644"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CBF848F"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D150D21"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04_184_0136_6_1</w:t>
            </w:r>
          </w:p>
        </w:tc>
        <w:tc>
          <w:tcPr>
            <w:tcW w:w="5670" w:type="dxa"/>
            <w:noWrap/>
            <w:vAlign w:val="center"/>
            <w:hideMark/>
          </w:tcPr>
          <w:p w14:paraId="2BA5B02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Public Holiday</w:t>
            </w:r>
          </w:p>
        </w:tc>
        <w:tc>
          <w:tcPr>
            <w:tcW w:w="2268" w:type="dxa"/>
            <w:noWrap/>
            <w:vAlign w:val="center"/>
            <w:hideMark/>
          </w:tcPr>
          <w:p w14:paraId="0E63000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7045001"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B7DF2D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9D99F4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68F603C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A4D5D23"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04_184_0136_6_1_T</w:t>
            </w:r>
          </w:p>
        </w:tc>
        <w:tc>
          <w:tcPr>
            <w:tcW w:w="5670" w:type="dxa"/>
            <w:noWrap/>
            <w:vAlign w:val="center"/>
            <w:hideMark/>
          </w:tcPr>
          <w:p w14:paraId="54FAAC81"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Standard - Public Holiday - TTP</w:t>
            </w:r>
          </w:p>
        </w:tc>
        <w:tc>
          <w:tcPr>
            <w:tcW w:w="2268" w:type="dxa"/>
            <w:noWrap/>
            <w:vAlign w:val="center"/>
            <w:hideMark/>
          </w:tcPr>
          <w:p w14:paraId="2FB8B1D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B8AA0C6"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046C3D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5D2F460"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39A1F52C"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0FBE1A1"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04_185_0104_6_1</w:t>
            </w:r>
          </w:p>
        </w:tc>
        <w:tc>
          <w:tcPr>
            <w:tcW w:w="5670" w:type="dxa"/>
            <w:noWrap/>
            <w:vAlign w:val="center"/>
            <w:hideMark/>
          </w:tcPr>
          <w:p w14:paraId="1A0BAC64"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Weekday Daytime</w:t>
            </w:r>
          </w:p>
        </w:tc>
        <w:tc>
          <w:tcPr>
            <w:tcW w:w="2268" w:type="dxa"/>
            <w:noWrap/>
            <w:vAlign w:val="center"/>
            <w:hideMark/>
          </w:tcPr>
          <w:p w14:paraId="4CE13612"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6E41DC9"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2857B2A3"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476CF28D" w14:textId="77777777" w:rsidR="00315545" w:rsidRPr="00AE0D61" w:rsidRDefault="00315545" w:rsidP="00315545">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15545" w:rsidRPr="00AE0D61" w14:paraId="2F5E726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5476CAF" w14:textId="77777777" w:rsidR="00315545" w:rsidRPr="00AE0D61" w:rsidRDefault="00315545" w:rsidP="00315545">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04_185_0104_6_1_T</w:t>
            </w:r>
          </w:p>
        </w:tc>
        <w:tc>
          <w:tcPr>
            <w:tcW w:w="5670" w:type="dxa"/>
            <w:noWrap/>
            <w:vAlign w:val="center"/>
            <w:hideMark/>
          </w:tcPr>
          <w:p w14:paraId="702124ED"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Weekday Daytime - TTP</w:t>
            </w:r>
          </w:p>
        </w:tc>
        <w:tc>
          <w:tcPr>
            <w:tcW w:w="2268" w:type="dxa"/>
            <w:noWrap/>
            <w:vAlign w:val="center"/>
            <w:hideMark/>
          </w:tcPr>
          <w:p w14:paraId="42929082"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BBEA12C"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2B39D593"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4C331E8" w14:textId="77777777" w:rsidR="00315545" w:rsidRPr="00AE0D61" w:rsidRDefault="00315545" w:rsidP="00315545">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572E0D7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5572963"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04_186_0104_6_1</w:t>
            </w:r>
          </w:p>
        </w:tc>
        <w:tc>
          <w:tcPr>
            <w:tcW w:w="5670" w:type="dxa"/>
            <w:noWrap/>
            <w:vAlign w:val="center"/>
            <w:hideMark/>
          </w:tcPr>
          <w:p w14:paraId="0BDBAA9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Weekday Afternoon</w:t>
            </w:r>
          </w:p>
        </w:tc>
        <w:tc>
          <w:tcPr>
            <w:tcW w:w="2268" w:type="dxa"/>
            <w:noWrap/>
            <w:vAlign w:val="center"/>
            <w:hideMark/>
          </w:tcPr>
          <w:p w14:paraId="052CEEE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7D4D6C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2B413EA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010C7D4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4A9F883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CC85D50"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04_186_0104_6_1_T</w:t>
            </w:r>
          </w:p>
        </w:tc>
        <w:tc>
          <w:tcPr>
            <w:tcW w:w="5670" w:type="dxa"/>
            <w:noWrap/>
            <w:vAlign w:val="center"/>
            <w:hideMark/>
          </w:tcPr>
          <w:p w14:paraId="4DB0906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Weekday Afternoon - TTP</w:t>
            </w:r>
          </w:p>
        </w:tc>
        <w:tc>
          <w:tcPr>
            <w:tcW w:w="2268" w:type="dxa"/>
            <w:noWrap/>
            <w:vAlign w:val="center"/>
            <w:hideMark/>
          </w:tcPr>
          <w:p w14:paraId="09A02D5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0F904E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4C3CF92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5A2EA5E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430F570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539F5D4"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04_187_0104_6_1</w:t>
            </w:r>
          </w:p>
        </w:tc>
        <w:tc>
          <w:tcPr>
            <w:tcW w:w="5670" w:type="dxa"/>
            <w:noWrap/>
            <w:vAlign w:val="center"/>
            <w:hideMark/>
          </w:tcPr>
          <w:p w14:paraId="7B98C14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Saturday</w:t>
            </w:r>
          </w:p>
        </w:tc>
        <w:tc>
          <w:tcPr>
            <w:tcW w:w="2268" w:type="dxa"/>
            <w:noWrap/>
            <w:vAlign w:val="center"/>
            <w:hideMark/>
          </w:tcPr>
          <w:p w14:paraId="2E3B6C8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8C03A0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41802D5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D57240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5943F8A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E8A5985"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04_187_0104_6_1_T</w:t>
            </w:r>
          </w:p>
        </w:tc>
        <w:tc>
          <w:tcPr>
            <w:tcW w:w="5670" w:type="dxa"/>
            <w:noWrap/>
            <w:vAlign w:val="center"/>
            <w:hideMark/>
          </w:tcPr>
          <w:p w14:paraId="5C99231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Saturday - TTP</w:t>
            </w:r>
          </w:p>
        </w:tc>
        <w:tc>
          <w:tcPr>
            <w:tcW w:w="2268" w:type="dxa"/>
            <w:noWrap/>
            <w:vAlign w:val="center"/>
            <w:hideMark/>
          </w:tcPr>
          <w:p w14:paraId="79E36EF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525A6A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076CD6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8B2AA8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6648120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FA6AD5B"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04_188_0104_6_1</w:t>
            </w:r>
          </w:p>
        </w:tc>
        <w:tc>
          <w:tcPr>
            <w:tcW w:w="5670" w:type="dxa"/>
            <w:noWrap/>
            <w:vAlign w:val="center"/>
            <w:hideMark/>
          </w:tcPr>
          <w:p w14:paraId="5855469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Sunday</w:t>
            </w:r>
          </w:p>
        </w:tc>
        <w:tc>
          <w:tcPr>
            <w:tcW w:w="2268" w:type="dxa"/>
            <w:noWrap/>
            <w:vAlign w:val="center"/>
            <w:hideMark/>
          </w:tcPr>
          <w:p w14:paraId="5A82C49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5BD6AC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2EB5AFB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0B235A3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01FC954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5E82C32"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04_188_0104_6_1_T</w:t>
            </w:r>
          </w:p>
        </w:tc>
        <w:tc>
          <w:tcPr>
            <w:tcW w:w="5670" w:type="dxa"/>
            <w:noWrap/>
            <w:vAlign w:val="center"/>
            <w:hideMark/>
          </w:tcPr>
          <w:p w14:paraId="66F466F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Sunday - TTP</w:t>
            </w:r>
          </w:p>
        </w:tc>
        <w:tc>
          <w:tcPr>
            <w:tcW w:w="2268" w:type="dxa"/>
            <w:noWrap/>
            <w:vAlign w:val="center"/>
            <w:hideMark/>
          </w:tcPr>
          <w:p w14:paraId="491EBB5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B04E4F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45D1EAE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12E22D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3ABA4B6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1F6F36C"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04_189_0104_6_1</w:t>
            </w:r>
          </w:p>
        </w:tc>
        <w:tc>
          <w:tcPr>
            <w:tcW w:w="5670" w:type="dxa"/>
            <w:noWrap/>
            <w:vAlign w:val="center"/>
            <w:hideMark/>
          </w:tcPr>
          <w:p w14:paraId="09E5460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Public Holiday</w:t>
            </w:r>
          </w:p>
        </w:tc>
        <w:tc>
          <w:tcPr>
            <w:tcW w:w="2268" w:type="dxa"/>
            <w:noWrap/>
            <w:vAlign w:val="center"/>
            <w:hideMark/>
          </w:tcPr>
          <w:p w14:paraId="3BBCA2E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EC27DB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165EA53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47F5C60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39DF100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7EBF1AF"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04_189_0104_6_1_T</w:t>
            </w:r>
          </w:p>
        </w:tc>
        <w:tc>
          <w:tcPr>
            <w:tcW w:w="5670" w:type="dxa"/>
            <w:noWrap/>
            <w:vAlign w:val="center"/>
            <w:hideMark/>
          </w:tcPr>
          <w:p w14:paraId="51A387B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- 1:1 - Complex - Public Holiday - TTP</w:t>
            </w:r>
          </w:p>
        </w:tc>
        <w:tc>
          <w:tcPr>
            <w:tcW w:w="2268" w:type="dxa"/>
            <w:noWrap/>
            <w:vAlign w:val="center"/>
            <w:hideMark/>
          </w:tcPr>
          <w:p w14:paraId="09993ED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70D422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2B0CAC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435F4B7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25BA914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D761FA0"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04_190_0104_6_1</w:t>
            </w:r>
          </w:p>
        </w:tc>
        <w:tc>
          <w:tcPr>
            <w:tcW w:w="5670" w:type="dxa"/>
            <w:noWrap/>
            <w:vAlign w:val="center"/>
            <w:hideMark/>
          </w:tcPr>
          <w:p w14:paraId="77A8237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Weekday Daytime</w:t>
            </w:r>
          </w:p>
        </w:tc>
        <w:tc>
          <w:tcPr>
            <w:tcW w:w="2268" w:type="dxa"/>
            <w:noWrap/>
            <w:vAlign w:val="center"/>
            <w:hideMark/>
          </w:tcPr>
          <w:p w14:paraId="0865DDC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6FB039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26C6D82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55F57D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59B92AF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163278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04_190_0104_6_1_T</w:t>
            </w:r>
          </w:p>
        </w:tc>
        <w:tc>
          <w:tcPr>
            <w:tcW w:w="5670" w:type="dxa"/>
            <w:noWrap/>
            <w:vAlign w:val="center"/>
            <w:hideMark/>
          </w:tcPr>
          <w:p w14:paraId="53F059B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Weekday Daytime - TTP</w:t>
            </w:r>
          </w:p>
        </w:tc>
        <w:tc>
          <w:tcPr>
            <w:tcW w:w="2268" w:type="dxa"/>
            <w:noWrap/>
            <w:vAlign w:val="center"/>
            <w:hideMark/>
          </w:tcPr>
          <w:p w14:paraId="46AF462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D234F1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5E9CED2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4543EBC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73DFF9B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FB29210"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04_191_0104_6_1</w:t>
            </w:r>
          </w:p>
        </w:tc>
        <w:tc>
          <w:tcPr>
            <w:tcW w:w="5670" w:type="dxa"/>
            <w:noWrap/>
            <w:vAlign w:val="center"/>
            <w:hideMark/>
          </w:tcPr>
          <w:p w14:paraId="709A301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Weekday Afternoon</w:t>
            </w:r>
          </w:p>
        </w:tc>
        <w:tc>
          <w:tcPr>
            <w:tcW w:w="2268" w:type="dxa"/>
            <w:noWrap/>
            <w:vAlign w:val="center"/>
            <w:hideMark/>
          </w:tcPr>
          <w:p w14:paraId="6634297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A269F5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6BC2E9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6C542A1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793730B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27BCC67"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04_191_0104_6_1_T</w:t>
            </w:r>
          </w:p>
        </w:tc>
        <w:tc>
          <w:tcPr>
            <w:tcW w:w="5670" w:type="dxa"/>
            <w:noWrap/>
            <w:vAlign w:val="center"/>
            <w:hideMark/>
          </w:tcPr>
          <w:p w14:paraId="125D6D0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Weekday Afternoon - TTP</w:t>
            </w:r>
          </w:p>
        </w:tc>
        <w:tc>
          <w:tcPr>
            <w:tcW w:w="2268" w:type="dxa"/>
            <w:noWrap/>
            <w:vAlign w:val="center"/>
            <w:hideMark/>
          </w:tcPr>
          <w:p w14:paraId="252D594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7C6AC3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7BC8C4D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6035562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78369F0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555DEA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04_192_0104_6_1</w:t>
            </w:r>
          </w:p>
        </w:tc>
        <w:tc>
          <w:tcPr>
            <w:tcW w:w="5670" w:type="dxa"/>
            <w:noWrap/>
            <w:vAlign w:val="center"/>
            <w:hideMark/>
          </w:tcPr>
          <w:p w14:paraId="5A4BDA2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Saturday</w:t>
            </w:r>
          </w:p>
        </w:tc>
        <w:tc>
          <w:tcPr>
            <w:tcW w:w="2268" w:type="dxa"/>
            <w:noWrap/>
            <w:vAlign w:val="center"/>
            <w:hideMark/>
          </w:tcPr>
          <w:p w14:paraId="2AFBEA9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D62C0E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70900E6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1864CA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40B54F3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27F572F"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04_192_0104_6_1_T</w:t>
            </w:r>
          </w:p>
        </w:tc>
        <w:tc>
          <w:tcPr>
            <w:tcW w:w="5670" w:type="dxa"/>
            <w:noWrap/>
            <w:vAlign w:val="center"/>
            <w:hideMark/>
          </w:tcPr>
          <w:p w14:paraId="4A40944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Saturday - TTP</w:t>
            </w:r>
          </w:p>
        </w:tc>
        <w:tc>
          <w:tcPr>
            <w:tcW w:w="2268" w:type="dxa"/>
            <w:noWrap/>
            <w:vAlign w:val="center"/>
            <w:hideMark/>
          </w:tcPr>
          <w:p w14:paraId="2A85E28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D4F3FD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1451C25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1F98B71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395FF1F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6ABD01D"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04_193_0104_6_1</w:t>
            </w:r>
          </w:p>
        </w:tc>
        <w:tc>
          <w:tcPr>
            <w:tcW w:w="5670" w:type="dxa"/>
            <w:noWrap/>
            <w:vAlign w:val="center"/>
            <w:hideMark/>
          </w:tcPr>
          <w:p w14:paraId="085B9CB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Sunday</w:t>
            </w:r>
          </w:p>
        </w:tc>
        <w:tc>
          <w:tcPr>
            <w:tcW w:w="2268" w:type="dxa"/>
            <w:noWrap/>
            <w:vAlign w:val="center"/>
            <w:hideMark/>
          </w:tcPr>
          <w:p w14:paraId="3D96CF9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DA6FB3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A01717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46B747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476FC21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0D175E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04_193_0104_6_1_T</w:t>
            </w:r>
          </w:p>
        </w:tc>
        <w:tc>
          <w:tcPr>
            <w:tcW w:w="5670" w:type="dxa"/>
            <w:noWrap/>
            <w:vAlign w:val="center"/>
            <w:hideMark/>
          </w:tcPr>
          <w:p w14:paraId="6EA5FAF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Sunday - TTP</w:t>
            </w:r>
          </w:p>
        </w:tc>
        <w:tc>
          <w:tcPr>
            <w:tcW w:w="2268" w:type="dxa"/>
            <w:noWrap/>
            <w:vAlign w:val="center"/>
            <w:hideMark/>
          </w:tcPr>
          <w:p w14:paraId="70997E7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B967A6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6E3423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376F648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5B38E71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575D7A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04_194_0104_6_1</w:t>
            </w:r>
          </w:p>
        </w:tc>
        <w:tc>
          <w:tcPr>
            <w:tcW w:w="5670" w:type="dxa"/>
            <w:noWrap/>
            <w:vAlign w:val="center"/>
            <w:hideMark/>
          </w:tcPr>
          <w:p w14:paraId="34DEFFB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Public Holiday</w:t>
            </w:r>
          </w:p>
        </w:tc>
        <w:tc>
          <w:tcPr>
            <w:tcW w:w="2268" w:type="dxa"/>
            <w:noWrap/>
            <w:vAlign w:val="center"/>
            <w:hideMark/>
          </w:tcPr>
          <w:p w14:paraId="6A0474A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7FC29D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2FDD407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56000E7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7BA7FF6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1074097"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04_194_0104_6_1_T</w:t>
            </w:r>
          </w:p>
        </w:tc>
        <w:tc>
          <w:tcPr>
            <w:tcW w:w="5670" w:type="dxa"/>
            <w:noWrap/>
            <w:vAlign w:val="center"/>
            <w:hideMark/>
          </w:tcPr>
          <w:p w14:paraId="7E45C0C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- 1:2 - Complex - Public Holiday - TTP</w:t>
            </w:r>
          </w:p>
        </w:tc>
        <w:tc>
          <w:tcPr>
            <w:tcW w:w="2268" w:type="dxa"/>
            <w:noWrap/>
            <w:vAlign w:val="center"/>
            <w:hideMark/>
          </w:tcPr>
          <w:p w14:paraId="5500E5D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E7F0DD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0B43316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2BC9E6C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6FDBF4DF"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6FE8781"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04_195_0104_6_1</w:t>
            </w:r>
          </w:p>
        </w:tc>
        <w:tc>
          <w:tcPr>
            <w:tcW w:w="5670" w:type="dxa"/>
            <w:noWrap/>
            <w:vAlign w:val="center"/>
            <w:hideMark/>
          </w:tcPr>
          <w:p w14:paraId="1DA165C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Weekday Daytime</w:t>
            </w:r>
          </w:p>
        </w:tc>
        <w:tc>
          <w:tcPr>
            <w:tcW w:w="2268" w:type="dxa"/>
            <w:noWrap/>
            <w:vAlign w:val="center"/>
            <w:hideMark/>
          </w:tcPr>
          <w:p w14:paraId="53C9B41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C0ED6C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0529D3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C66D3E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48A83C3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44DF271"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04_195_0104_6_1_T</w:t>
            </w:r>
          </w:p>
        </w:tc>
        <w:tc>
          <w:tcPr>
            <w:tcW w:w="5670" w:type="dxa"/>
            <w:noWrap/>
            <w:vAlign w:val="center"/>
            <w:hideMark/>
          </w:tcPr>
          <w:p w14:paraId="1D5AB46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Weekday Daytime - TTP</w:t>
            </w:r>
          </w:p>
        </w:tc>
        <w:tc>
          <w:tcPr>
            <w:tcW w:w="2268" w:type="dxa"/>
            <w:noWrap/>
            <w:vAlign w:val="center"/>
            <w:hideMark/>
          </w:tcPr>
          <w:p w14:paraId="3BC723E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1B99BB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28971E1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486AEA3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4FCD255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91AC39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04_196_0104_6_1</w:t>
            </w:r>
          </w:p>
        </w:tc>
        <w:tc>
          <w:tcPr>
            <w:tcW w:w="5670" w:type="dxa"/>
            <w:noWrap/>
            <w:vAlign w:val="center"/>
            <w:hideMark/>
          </w:tcPr>
          <w:p w14:paraId="12CEB89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Weekday Afternoon</w:t>
            </w:r>
          </w:p>
        </w:tc>
        <w:tc>
          <w:tcPr>
            <w:tcW w:w="2268" w:type="dxa"/>
            <w:noWrap/>
            <w:vAlign w:val="center"/>
            <w:hideMark/>
          </w:tcPr>
          <w:p w14:paraId="1F8B99C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997078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42080A7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4986B4A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45B853F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C1E36B4"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04_196_0104_6_1_T</w:t>
            </w:r>
          </w:p>
        </w:tc>
        <w:tc>
          <w:tcPr>
            <w:tcW w:w="5670" w:type="dxa"/>
            <w:noWrap/>
            <w:vAlign w:val="center"/>
            <w:hideMark/>
          </w:tcPr>
          <w:p w14:paraId="7E253E6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Weekday Afternoon - TTP</w:t>
            </w:r>
          </w:p>
        </w:tc>
        <w:tc>
          <w:tcPr>
            <w:tcW w:w="2268" w:type="dxa"/>
            <w:noWrap/>
            <w:vAlign w:val="center"/>
            <w:hideMark/>
          </w:tcPr>
          <w:p w14:paraId="75D8CDC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95B915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8E3205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6C5CF88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5E0A452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B796E90"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04_197_0104_6_1</w:t>
            </w:r>
          </w:p>
        </w:tc>
        <w:tc>
          <w:tcPr>
            <w:tcW w:w="5670" w:type="dxa"/>
            <w:noWrap/>
            <w:vAlign w:val="center"/>
            <w:hideMark/>
          </w:tcPr>
          <w:p w14:paraId="0C9369A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Saturday</w:t>
            </w:r>
          </w:p>
        </w:tc>
        <w:tc>
          <w:tcPr>
            <w:tcW w:w="2268" w:type="dxa"/>
            <w:noWrap/>
            <w:vAlign w:val="center"/>
            <w:hideMark/>
          </w:tcPr>
          <w:p w14:paraId="0E47D46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4AC2C8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0C34872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6322D8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7F8D76F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B0BB53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04_197_0104_6_1_T</w:t>
            </w:r>
          </w:p>
        </w:tc>
        <w:tc>
          <w:tcPr>
            <w:tcW w:w="5670" w:type="dxa"/>
            <w:noWrap/>
            <w:vAlign w:val="center"/>
            <w:hideMark/>
          </w:tcPr>
          <w:p w14:paraId="1B340D3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Saturday - TTP</w:t>
            </w:r>
          </w:p>
        </w:tc>
        <w:tc>
          <w:tcPr>
            <w:tcW w:w="2268" w:type="dxa"/>
            <w:noWrap/>
            <w:vAlign w:val="center"/>
            <w:hideMark/>
          </w:tcPr>
          <w:p w14:paraId="36EB079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18DF55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E09856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7E50DF2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61D432A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119CA8D"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04_198_0104_6_1</w:t>
            </w:r>
          </w:p>
        </w:tc>
        <w:tc>
          <w:tcPr>
            <w:tcW w:w="5670" w:type="dxa"/>
            <w:noWrap/>
            <w:vAlign w:val="center"/>
            <w:hideMark/>
          </w:tcPr>
          <w:p w14:paraId="057C87E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Sunday</w:t>
            </w:r>
          </w:p>
        </w:tc>
        <w:tc>
          <w:tcPr>
            <w:tcW w:w="2268" w:type="dxa"/>
            <w:noWrap/>
            <w:vAlign w:val="center"/>
            <w:hideMark/>
          </w:tcPr>
          <w:p w14:paraId="1577369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975E7C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5B492AC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0FB400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513A58D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4A8BA11"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04_198_0104_6_1_T</w:t>
            </w:r>
          </w:p>
        </w:tc>
        <w:tc>
          <w:tcPr>
            <w:tcW w:w="5670" w:type="dxa"/>
            <w:noWrap/>
            <w:vAlign w:val="center"/>
            <w:hideMark/>
          </w:tcPr>
          <w:p w14:paraId="77F6DFE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Sunday - TTP</w:t>
            </w:r>
          </w:p>
        </w:tc>
        <w:tc>
          <w:tcPr>
            <w:tcW w:w="2268" w:type="dxa"/>
            <w:noWrap/>
            <w:vAlign w:val="center"/>
            <w:hideMark/>
          </w:tcPr>
          <w:p w14:paraId="54F7ECC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6430B3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1512526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AEF812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6B9A272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66ECEE7"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04_199_0104_6_1</w:t>
            </w:r>
          </w:p>
        </w:tc>
        <w:tc>
          <w:tcPr>
            <w:tcW w:w="5670" w:type="dxa"/>
            <w:noWrap/>
            <w:vAlign w:val="center"/>
            <w:hideMark/>
          </w:tcPr>
          <w:p w14:paraId="2404407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Public Holiday</w:t>
            </w:r>
          </w:p>
        </w:tc>
        <w:tc>
          <w:tcPr>
            <w:tcW w:w="2268" w:type="dxa"/>
            <w:noWrap/>
            <w:vAlign w:val="center"/>
            <w:hideMark/>
          </w:tcPr>
          <w:p w14:paraId="522B140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9AC9D8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4E24DC8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772BEFC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6770188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3DD64E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04_199_0104_6_1_T</w:t>
            </w:r>
          </w:p>
        </w:tc>
        <w:tc>
          <w:tcPr>
            <w:tcW w:w="5670" w:type="dxa"/>
            <w:noWrap/>
            <w:vAlign w:val="center"/>
            <w:hideMark/>
          </w:tcPr>
          <w:p w14:paraId="2F75BCE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- 1:3 - Complex - Public Holiday - TTP</w:t>
            </w:r>
          </w:p>
        </w:tc>
        <w:tc>
          <w:tcPr>
            <w:tcW w:w="2268" w:type="dxa"/>
            <w:noWrap/>
            <w:vAlign w:val="center"/>
            <w:hideMark/>
          </w:tcPr>
          <w:p w14:paraId="52DBC2F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3D3D65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00D2F2E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7BCF78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5DE8E9B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26A0AB2"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04_200_0104_6_1</w:t>
            </w:r>
          </w:p>
        </w:tc>
        <w:tc>
          <w:tcPr>
            <w:tcW w:w="5670" w:type="dxa"/>
            <w:noWrap/>
            <w:vAlign w:val="center"/>
            <w:hideMark/>
          </w:tcPr>
          <w:p w14:paraId="4929411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Weekday Daytime</w:t>
            </w:r>
          </w:p>
        </w:tc>
        <w:tc>
          <w:tcPr>
            <w:tcW w:w="2268" w:type="dxa"/>
            <w:noWrap/>
            <w:vAlign w:val="center"/>
            <w:hideMark/>
          </w:tcPr>
          <w:p w14:paraId="4EB2841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183434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13B990A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0EE380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2D475C9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B5BFF81"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04_200_0104_6_1_T</w:t>
            </w:r>
          </w:p>
        </w:tc>
        <w:tc>
          <w:tcPr>
            <w:tcW w:w="5670" w:type="dxa"/>
            <w:noWrap/>
            <w:vAlign w:val="center"/>
            <w:hideMark/>
          </w:tcPr>
          <w:p w14:paraId="2365DDC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Weekday Daytime - TTP</w:t>
            </w:r>
          </w:p>
        </w:tc>
        <w:tc>
          <w:tcPr>
            <w:tcW w:w="2268" w:type="dxa"/>
            <w:noWrap/>
            <w:vAlign w:val="center"/>
            <w:hideMark/>
          </w:tcPr>
          <w:p w14:paraId="15F9833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02CAF9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D5964C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97B611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348FD50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5B79BB1"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04_201_0104_6_1</w:t>
            </w:r>
          </w:p>
        </w:tc>
        <w:tc>
          <w:tcPr>
            <w:tcW w:w="5670" w:type="dxa"/>
            <w:noWrap/>
            <w:vAlign w:val="center"/>
            <w:hideMark/>
          </w:tcPr>
          <w:p w14:paraId="0FDCADC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Weekday Afternoon</w:t>
            </w:r>
          </w:p>
        </w:tc>
        <w:tc>
          <w:tcPr>
            <w:tcW w:w="2268" w:type="dxa"/>
            <w:noWrap/>
            <w:vAlign w:val="center"/>
            <w:hideMark/>
          </w:tcPr>
          <w:p w14:paraId="20040C1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650321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5D9F23A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3D27A27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1AF3CBA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CEBDFFC"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04_201_0104_6_1_T</w:t>
            </w:r>
          </w:p>
        </w:tc>
        <w:tc>
          <w:tcPr>
            <w:tcW w:w="5670" w:type="dxa"/>
            <w:noWrap/>
            <w:vAlign w:val="center"/>
            <w:hideMark/>
          </w:tcPr>
          <w:p w14:paraId="4FFC7EB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Weekday Afternoon - TTP</w:t>
            </w:r>
          </w:p>
        </w:tc>
        <w:tc>
          <w:tcPr>
            <w:tcW w:w="2268" w:type="dxa"/>
            <w:noWrap/>
            <w:vAlign w:val="center"/>
            <w:hideMark/>
          </w:tcPr>
          <w:p w14:paraId="249721B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4F4D8B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502A0A7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77E157D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2F7BBDE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5D91CA4"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04_202_0104_6_1</w:t>
            </w:r>
          </w:p>
        </w:tc>
        <w:tc>
          <w:tcPr>
            <w:tcW w:w="5670" w:type="dxa"/>
            <w:noWrap/>
            <w:vAlign w:val="center"/>
            <w:hideMark/>
          </w:tcPr>
          <w:p w14:paraId="452C77E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Saturday</w:t>
            </w:r>
          </w:p>
        </w:tc>
        <w:tc>
          <w:tcPr>
            <w:tcW w:w="2268" w:type="dxa"/>
            <w:noWrap/>
            <w:vAlign w:val="center"/>
            <w:hideMark/>
          </w:tcPr>
          <w:p w14:paraId="5601895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3FF1BC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CD8C80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37F8E1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755AAC0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9306EA7"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04_202_0104_6_1_T</w:t>
            </w:r>
          </w:p>
        </w:tc>
        <w:tc>
          <w:tcPr>
            <w:tcW w:w="5670" w:type="dxa"/>
            <w:noWrap/>
            <w:vAlign w:val="center"/>
            <w:hideMark/>
          </w:tcPr>
          <w:p w14:paraId="1211D78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Saturday - TTP</w:t>
            </w:r>
          </w:p>
        </w:tc>
        <w:tc>
          <w:tcPr>
            <w:tcW w:w="2268" w:type="dxa"/>
            <w:noWrap/>
            <w:vAlign w:val="center"/>
            <w:hideMark/>
          </w:tcPr>
          <w:p w14:paraId="5187491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E0BBD6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36E5EF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C3E840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5477718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2871D1B"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04_203_0104_6_1</w:t>
            </w:r>
          </w:p>
        </w:tc>
        <w:tc>
          <w:tcPr>
            <w:tcW w:w="5670" w:type="dxa"/>
            <w:noWrap/>
            <w:vAlign w:val="center"/>
            <w:hideMark/>
          </w:tcPr>
          <w:p w14:paraId="0474591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Sunday</w:t>
            </w:r>
          </w:p>
        </w:tc>
        <w:tc>
          <w:tcPr>
            <w:tcW w:w="2268" w:type="dxa"/>
            <w:noWrap/>
            <w:vAlign w:val="center"/>
            <w:hideMark/>
          </w:tcPr>
          <w:p w14:paraId="7E89CD3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792DAB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27DCDA8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EB803D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5188A38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54ADA2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04_203_0104_6_1_T</w:t>
            </w:r>
          </w:p>
        </w:tc>
        <w:tc>
          <w:tcPr>
            <w:tcW w:w="5670" w:type="dxa"/>
            <w:noWrap/>
            <w:vAlign w:val="center"/>
            <w:hideMark/>
          </w:tcPr>
          <w:p w14:paraId="23A0C88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Sunday - TTP</w:t>
            </w:r>
          </w:p>
        </w:tc>
        <w:tc>
          <w:tcPr>
            <w:tcW w:w="2268" w:type="dxa"/>
            <w:noWrap/>
            <w:vAlign w:val="center"/>
            <w:hideMark/>
          </w:tcPr>
          <w:p w14:paraId="6A3A27F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41BA2F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4347CA1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34202DC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3D83DE6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1F5438A"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04_204_0104_6_1</w:t>
            </w:r>
          </w:p>
        </w:tc>
        <w:tc>
          <w:tcPr>
            <w:tcW w:w="5670" w:type="dxa"/>
            <w:noWrap/>
            <w:vAlign w:val="center"/>
            <w:hideMark/>
          </w:tcPr>
          <w:p w14:paraId="392CB70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Public Holiday</w:t>
            </w:r>
          </w:p>
        </w:tc>
        <w:tc>
          <w:tcPr>
            <w:tcW w:w="2268" w:type="dxa"/>
            <w:noWrap/>
            <w:vAlign w:val="center"/>
            <w:hideMark/>
          </w:tcPr>
          <w:p w14:paraId="0376AD1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ADA12A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1B0A9AB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00DD1BE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7F71E41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6F7264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04_204_0104_6_1_T</w:t>
            </w:r>
          </w:p>
        </w:tc>
        <w:tc>
          <w:tcPr>
            <w:tcW w:w="5670" w:type="dxa"/>
            <w:noWrap/>
            <w:vAlign w:val="center"/>
            <w:hideMark/>
          </w:tcPr>
          <w:p w14:paraId="52852EF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- 1:4 - Complex - Public Holiday - TTP</w:t>
            </w:r>
          </w:p>
        </w:tc>
        <w:tc>
          <w:tcPr>
            <w:tcW w:w="2268" w:type="dxa"/>
            <w:noWrap/>
            <w:vAlign w:val="center"/>
            <w:hideMark/>
          </w:tcPr>
          <w:p w14:paraId="5A678F2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1EB815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52CDCCF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3C3CB17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7007A2A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F495FB0"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04_205_0104_6_1</w:t>
            </w:r>
          </w:p>
        </w:tc>
        <w:tc>
          <w:tcPr>
            <w:tcW w:w="5670" w:type="dxa"/>
            <w:noWrap/>
            <w:vAlign w:val="center"/>
            <w:hideMark/>
          </w:tcPr>
          <w:p w14:paraId="4CE8C87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Weekday Daytime</w:t>
            </w:r>
          </w:p>
        </w:tc>
        <w:tc>
          <w:tcPr>
            <w:tcW w:w="2268" w:type="dxa"/>
            <w:noWrap/>
            <w:vAlign w:val="center"/>
            <w:hideMark/>
          </w:tcPr>
          <w:p w14:paraId="195F5BC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A51370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18BA431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CADBBB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2BA5CC7F"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FF73FC6"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04_205_0104_6_1_T</w:t>
            </w:r>
          </w:p>
        </w:tc>
        <w:tc>
          <w:tcPr>
            <w:tcW w:w="5670" w:type="dxa"/>
            <w:noWrap/>
            <w:vAlign w:val="center"/>
            <w:hideMark/>
          </w:tcPr>
          <w:p w14:paraId="7B5672C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Weekday Daytime - TTP</w:t>
            </w:r>
          </w:p>
        </w:tc>
        <w:tc>
          <w:tcPr>
            <w:tcW w:w="2268" w:type="dxa"/>
            <w:noWrap/>
            <w:vAlign w:val="center"/>
            <w:hideMark/>
          </w:tcPr>
          <w:p w14:paraId="3E7F4DF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4DF8DD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7F51746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72EA901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2926BCD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2A2E26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04_206_0104_6_1</w:t>
            </w:r>
          </w:p>
        </w:tc>
        <w:tc>
          <w:tcPr>
            <w:tcW w:w="5670" w:type="dxa"/>
            <w:noWrap/>
            <w:vAlign w:val="center"/>
            <w:hideMark/>
          </w:tcPr>
          <w:p w14:paraId="0DD4611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Weekday Afternoon</w:t>
            </w:r>
          </w:p>
        </w:tc>
        <w:tc>
          <w:tcPr>
            <w:tcW w:w="2268" w:type="dxa"/>
            <w:noWrap/>
            <w:vAlign w:val="center"/>
            <w:hideMark/>
          </w:tcPr>
          <w:p w14:paraId="279D506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92236D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109FA60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57B07FE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6A92F71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E269536"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04_206_0104_6_1_T</w:t>
            </w:r>
          </w:p>
        </w:tc>
        <w:tc>
          <w:tcPr>
            <w:tcW w:w="5670" w:type="dxa"/>
            <w:noWrap/>
            <w:vAlign w:val="center"/>
            <w:hideMark/>
          </w:tcPr>
          <w:p w14:paraId="3937190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Weekday Afternoon - TTP</w:t>
            </w:r>
          </w:p>
        </w:tc>
        <w:tc>
          <w:tcPr>
            <w:tcW w:w="2268" w:type="dxa"/>
            <w:noWrap/>
            <w:vAlign w:val="center"/>
            <w:hideMark/>
          </w:tcPr>
          <w:p w14:paraId="11C8D8C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131D21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4F5691B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Evening Loading</w:t>
            </w:r>
          </w:p>
        </w:tc>
        <w:tc>
          <w:tcPr>
            <w:tcW w:w="1159" w:type="dxa"/>
            <w:noWrap/>
            <w:vAlign w:val="center"/>
            <w:hideMark/>
          </w:tcPr>
          <w:p w14:paraId="47217BB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3104B30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31DF344"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04_207_0104_6_1</w:t>
            </w:r>
          </w:p>
        </w:tc>
        <w:tc>
          <w:tcPr>
            <w:tcW w:w="5670" w:type="dxa"/>
            <w:noWrap/>
            <w:vAlign w:val="center"/>
            <w:hideMark/>
          </w:tcPr>
          <w:p w14:paraId="4F0A3D3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Saturday</w:t>
            </w:r>
          </w:p>
        </w:tc>
        <w:tc>
          <w:tcPr>
            <w:tcW w:w="2268" w:type="dxa"/>
            <w:noWrap/>
            <w:vAlign w:val="center"/>
            <w:hideMark/>
          </w:tcPr>
          <w:p w14:paraId="56DC163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44D19A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2CDD845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492BD12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7DE24F4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C5584F7"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04_207_0104_6_1_T</w:t>
            </w:r>
          </w:p>
        </w:tc>
        <w:tc>
          <w:tcPr>
            <w:tcW w:w="5670" w:type="dxa"/>
            <w:noWrap/>
            <w:vAlign w:val="center"/>
            <w:hideMark/>
          </w:tcPr>
          <w:p w14:paraId="17DAB4A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Saturday - TTP</w:t>
            </w:r>
          </w:p>
        </w:tc>
        <w:tc>
          <w:tcPr>
            <w:tcW w:w="2268" w:type="dxa"/>
            <w:noWrap/>
            <w:vAlign w:val="center"/>
            <w:hideMark/>
          </w:tcPr>
          <w:p w14:paraId="3C5111A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D1E38B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5B72752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106687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18C5EBF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E0863E1"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04_208_0104_6_1</w:t>
            </w:r>
          </w:p>
        </w:tc>
        <w:tc>
          <w:tcPr>
            <w:tcW w:w="5670" w:type="dxa"/>
            <w:noWrap/>
            <w:vAlign w:val="center"/>
            <w:hideMark/>
          </w:tcPr>
          <w:p w14:paraId="52ECB02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Sunday</w:t>
            </w:r>
          </w:p>
        </w:tc>
        <w:tc>
          <w:tcPr>
            <w:tcW w:w="2268" w:type="dxa"/>
            <w:noWrap/>
            <w:vAlign w:val="center"/>
            <w:hideMark/>
          </w:tcPr>
          <w:p w14:paraId="5D2E233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E0A533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7D275B7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69EBDE8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3602F66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BFB332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04_208_0104_6_1_T</w:t>
            </w:r>
          </w:p>
        </w:tc>
        <w:tc>
          <w:tcPr>
            <w:tcW w:w="5670" w:type="dxa"/>
            <w:noWrap/>
            <w:vAlign w:val="center"/>
            <w:hideMark/>
          </w:tcPr>
          <w:p w14:paraId="6EE6751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Sunday - TTP</w:t>
            </w:r>
          </w:p>
        </w:tc>
        <w:tc>
          <w:tcPr>
            <w:tcW w:w="2268" w:type="dxa"/>
            <w:noWrap/>
            <w:vAlign w:val="center"/>
            <w:hideMark/>
          </w:tcPr>
          <w:p w14:paraId="1A272BC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BC665B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538750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1EE175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47B7C8F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AB34F9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04_209_0104_6_1</w:t>
            </w:r>
          </w:p>
        </w:tc>
        <w:tc>
          <w:tcPr>
            <w:tcW w:w="5670" w:type="dxa"/>
            <w:noWrap/>
            <w:vAlign w:val="center"/>
            <w:hideMark/>
          </w:tcPr>
          <w:p w14:paraId="3C0137F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Public Holiday</w:t>
            </w:r>
          </w:p>
        </w:tc>
        <w:tc>
          <w:tcPr>
            <w:tcW w:w="2268" w:type="dxa"/>
            <w:noWrap/>
            <w:vAlign w:val="center"/>
            <w:hideMark/>
          </w:tcPr>
          <w:p w14:paraId="15CCA59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6FA82A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3731BD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2007C9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283AAE15"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0A5F3C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04_209_0104_6_1_T</w:t>
            </w:r>
          </w:p>
        </w:tc>
        <w:tc>
          <w:tcPr>
            <w:tcW w:w="5670" w:type="dxa"/>
            <w:noWrap/>
            <w:vAlign w:val="center"/>
            <w:hideMark/>
          </w:tcPr>
          <w:p w14:paraId="2986657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In A Centre - 1:5 - Complex - Public Holiday - TTP</w:t>
            </w:r>
          </w:p>
        </w:tc>
        <w:tc>
          <w:tcPr>
            <w:tcW w:w="2268" w:type="dxa"/>
            <w:noWrap/>
            <w:vAlign w:val="center"/>
            <w:hideMark/>
          </w:tcPr>
          <w:p w14:paraId="23EFABC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C9CA19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5FF00A9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6D298C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See </w:t>
            </w:r>
            <w:r w:rsidR="00D54BD6">
              <w:rPr>
                <w:rFonts w:ascii="Calibri" w:eastAsia="Times New Roman" w:hAnsi="Calibri" w:cs="Calibri"/>
                <w:color w:val="000000"/>
                <w:sz w:val="16"/>
                <w:szCs w:val="16"/>
                <w:lang w:eastAsia="en-AU"/>
              </w:rPr>
              <w:t>Note 5</w:t>
            </w:r>
          </w:p>
        </w:tc>
      </w:tr>
      <w:tr w:rsidR="00325407" w:rsidRPr="00AE0D61" w14:paraId="608015C3"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E35152C"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04_300_0104_1_1</w:t>
            </w:r>
          </w:p>
        </w:tc>
        <w:tc>
          <w:tcPr>
            <w:tcW w:w="5670" w:type="dxa"/>
            <w:noWrap/>
            <w:vAlign w:val="center"/>
            <w:hideMark/>
          </w:tcPr>
          <w:p w14:paraId="057A260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Weekday Daytime</w:t>
            </w:r>
          </w:p>
        </w:tc>
        <w:tc>
          <w:tcPr>
            <w:tcW w:w="2268" w:type="dxa"/>
            <w:noWrap/>
            <w:vAlign w:val="center"/>
            <w:hideMark/>
          </w:tcPr>
          <w:p w14:paraId="3A10D94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36CDF6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2C40F8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69440A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5E933FD2"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CCFB94D"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04_300_0104_1_1_T</w:t>
            </w:r>
          </w:p>
        </w:tc>
        <w:tc>
          <w:tcPr>
            <w:tcW w:w="5670" w:type="dxa"/>
            <w:noWrap/>
            <w:vAlign w:val="center"/>
            <w:hideMark/>
          </w:tcPr>
          <w:p w14:paraId="3804822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Weekday Daytime - TTP</w:t>
            </w:r>
          </w:p>
        </w:tc>
        <w:tc>
          <w:tcPr>
            <w:tcW w:w="2268" w:type="dxa"/>
            <w:noWrap/>
            <w:vAlign w:val="center"/>
            <w:hideMark/>
          </w:tcPr>
          <w:p w14:paraId="20031C4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2612D3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5101A6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5D2AF12"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31B70AF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20445E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04_301_0104_1_1</w:t>
            </w:r>
          </w:p>
        </w:tc>
        <w:tc>
          <w:tcPr>
            <w:tcW w:w="5670" w:type="dxa"/>
            <w:noWrap/>
            <w:vAlign w:val="center"/>
            <w:hideMark/>
          </w:tcPr>
          <w:p w14:paraId="08FAE7B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Weekday Evening</w:t>
            </w:r>
          </w:p>
        </w:tc>
        <w:tc>
          <w:tcPr>
            <w:tcW w:w="2268" w:type="dxa"/>
            <w:noWrap/>
            <w:vAlign w:val="center"/>
            <w:hideMark/>
          </w:tcPr>
          <w:p w14:paraId="1C97484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2BD3AA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080684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392DEBA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4DBB6F4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62B70C7"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04_301_0104_1_1_T</w:t>
            </w:r>
          </w:p>
        </w:tc>
        <w:tc>
          <w:tcPr>
            <w:tcW w:w="5670" w:type="dxa"/>
            <w:noWrap/>
            <w:vAlign w:val="center"/>
            <w:hideMark/>
          </w:tcPr>
          <w:p w14:paraId="5B92691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Weekday Evening - TTP</w:t>
            </w:r>
          </w:p>
        </w:tc>
        <w:tc>
          <w:tcPr>
            <w:tcW w:w="2268" w:type="dxa"/>
            <w:noWrap/>
            <w:vAlign w:val="center"/>
            <w:hideMark/>
          </w:tcPr>
          <w:p w14:paraId="1AD69FA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6B78CA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A9BCB5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05D4BF4C"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6D2CB648"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AA9824A"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04_302_0104_1_1</w:t>
            </w:r>
          </w:p>
        </w:tc>
        <w:tc>
          <w:tcPr>
            <w:tcW w:w="5670" w:type="dxa"/>
            <w:noWrap/>
            <w:vAlign w:val="center"/>
            <w:hideMark/>
          </w:tcPr>
          <w:p w14:paraId="43F815E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Saturday</w:t>
            </w:r>
          </w:p>
        </w:tc>
        <w:tc>
          <w:tcPr>
            <w:tcW w:w="2268" w:type="dxa"/>
            <w:noWrap/>
            <w:vAlign w:val="center"/>
            <w:hideMark/>
          </w:tcPr>
          <w:p w14:paraId="1F6CB0D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7C8AF8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90280D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015BE2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7EFA3DA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759D95F"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04_302_0104_1_1_T</w:t>
            </w:r>
          </w:p>
        </w:tc>
        <w:tc>
          <w:tcPr>
            <w:tcW w:w="5670" w:type="dxa"/>
            <w:noWrap/>
            <w:vAlign w:val="center"/>
            <w:hideMark/>
          </w:tcPr>
          <w:p w14:paraId="7CF4FD0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Saturday - TTP</w:t>
            </w:r>
          </w:p>
        </w:tc>
        <w:tc>
          <w:tcPr>
            <w:tcW w:w="2268" w:type="dxa"/>
            <w:noWrap/>
            <w:vAlign w:val="center"/>
            <w:hideMark/>
          </w:tcPr>
          <w:p w14:paraId="5D9C0ED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6F266E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C61D3F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300D080A"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7072B32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11BF73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04_303_0104_1_1</w:t>
            </w:r>
          </w:p>
        </w:tc>
        <w:tc>
          <w:tcPr>
            <w:tcW w:w="5670" w:type="dxa"/>
            <w:noWrap/>
            <w:vAlign w:val="center"/>
            <w:hideMark/>
          </w:tcPr>
          <w:p w14:paraId="08E8318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Sunday</w:t>
            </w:r>
          </w:p>
        </w:tc>
        <w:tc>
          <w:tcPr>
            <w:tcW w:w="2268" w:type="dxa"/>
            <w:noWrap/>
            <w:vAlign w:val="center"/>
            <w:hideMark/>
          </w:tcPr>
          <w:p w14:paraId="4EC0F07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5AD6F38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34A6A0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8D14C8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1C6E16A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B5018FD"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04_303_0104_1_1_T</w:t>
            </w:r>
          </w:p>
        </w:tc>
        <w:tc>
          <w:tcPr>
            <w:tcW w:w="5670" w:type="dxa"/>
            <w:noWrap/>
            <w:vAlign w:val="center"/>
            <w:hideMark/>
          </w:tcPr>
          <w:p w14:paraId="4ADB8DB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Sunday - TTP</w:t>
            </w:r>
          </w:p>
        </w:tc>
        <w:tc>
          <w:tcPr>
            <w:tcW w:w="2268" w:type="dxa"/>
            <w:noWrap/>
            <w:vAlign w:val="center"/>
            <w:hideMark/>
          </w:tcPr>
          <w:p w14:paraId="63D9277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CCB9C4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A3640E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1E64CF36"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3074FC2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66885F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04_304_0104_1_1</w:t>
            </w:r>
          </w:p>
        </w:tc>
        <w:tc>
          <w:tcPr>
            <w:tcW w:w="5670" w:type="dxa"/>
            <w:noWrap/>
            <w:vAlign w:val="center"/>
            <w:hideMark/>
          </w:tcPr>
          <w:p w14:paraId="32E871D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Public Holiday</w:t>
            </w:r>
          </w:p>
        </w:tc>
        <w:tc>
          <w:tcPr>
            <w:tcW w:w="2268" w:type="dxa"/>
            <w:noWrap/>
            <w:vAlign w:val="center"/>
            <w:hideMark/>
          </w:tcPr>
          <w:p w14:paraId="1A64B49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470595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51F8A8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26128B4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58FAB8E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2FA3F35"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04_304_0104_1_1_T</w:t>
            </w:r>
          </w:p>
        </w:tc>
        <w:tc>
          <w:tcPr>
            <w:tcW w:w="5670" w:type="dxa"/>
            <w:noWrap/>
            <w:vAlign w:val="center"/>
            <w:hideMark/>
          </w:tcPr>
          <w:p w14:paraId="2557A25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1 - Public Holiday - TTP</w:t>
            </w:r>
          </w:p>
        </w:tc>
        <w:tc>
          <w:tcPr>
            <w:tcW w:w="2268" w:type="dxa"/>
            <w:noWrap/>
            <w:vAlign w:val="center"/>
            <w:hideMark/>
          </w:tcPr>
          <w:p w14:paraId="2DFB54B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DED04E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28E1323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251035C"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1B61F94A"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594B057"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04_400_0104_1_1</w:t>
            </w:r>
          </w:p>
        </w:tc>
        <w:tc>
          <w:tcPr>
            <w:tcW w:w="5670" w:type="dxa"/>
            <w:noWrap/>
            <w:vAlign w:val="center"/>
            <w:hideMark/>
          </w:tcPr>
          <w:p w14:paraId="543DD07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Weekday Daytime</w:t>
            </w:r>
          </w:p>
        </w:tc>
        <w:tc>
          <w:tcPr>
            <w:tcW w:w="2268" w:type="dxa"/>
            <w:noWrap/>
            <w:vAlign w:val="center"/>
            <w:hideMark/>
          </w:tcPr>
          <w:p w14:paraId="6272934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60882FC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39CE4B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4FF260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4DD06A5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8A54834"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04_400_0104_1_1_T</w:t>
            </w:r>
          </w:p>
        </w:tc>
        <w:tc>
          <w:tcPr>
            <w:tcW w:w="5670" w:type="dxa"/>
            <w:noWrap/>
            <w:vAlign w:val="center"/>
            <w:hideMark/>
          </w:tcPr>
          <w:p w14:paraId="17CFAED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Weekday Daytime - TTP</w:t>
            </w:r>
          </w:p>
        </w:tc>
        <w:tc>
          <w:tcPr>
            <w:tcW w:w="2268" w:type="dxa"/>
            <w:noWrap/>
            <w:vAlign w:val="center"/>
            <w:hideMark/>
          </w:tcPr>
          <w:p w14:paraId="1573073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8E8505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035E525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48A0436"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11D2832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F8BE2C5"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04_401_0104_1_1</w:t>
            </w:r>
          </w:p>
        </w:tc>
        <w:tc>
          <w:tcPr>
            <w:tcW w:w="5670" w:type="dxa"/>
            <w:noWrap/>
            <w:vAlign w:val="center"/>
            <w:hideMark/>
          </w:tcPr>
          <w:p w14:paraId="448779A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Weekday Evening</w:t>
            </w:r>
          </w:p>
        </w:tc>
        <w:tc>
          <w:tcPr>
            <w:tcW w:w="2268" w:type="dxa"/>
            <w:noWrap/>
            <w:vAlign w:val="center"/>
            <w:hideMark/>
          </w:tcPr>
          <w:p w14:paraId="1C51FC1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03FE53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7E48CB3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49A9CAB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1D138A0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3FE639B"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04_401_0104_1_1_T</w:t>
            </w:r>
          </w:p>
        </w:tc>
        <w:tc>
          <w:tcPr>
            <w:tcW w:w="5670" w:type="dxa"/>
            <w:noWrap/>
            <w:vAlign w:val="center"/>
            <w:hideMark/>
          </w:tcPr>
          <w:p w14:paraId="6140157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Weekday Evening - TTP</w:t>
            </w:r>
          </w:p>
        </w:tc>
        <w:tc>
          <w:tcPr>
            <w:tcW w:w="2268" w:type="dxa"/>
            <w:noWrap/>
            <w:vAlign w:val="center"/>
            <w:hideMark/>
          </w:tcPr>
          <w:p w14:paraId="728530A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AA7709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04985F6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6490AB96"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5C2D8A14"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1A34E5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04_402_0104_1_1</w:t>
            </w:r>
          </w:p>
        </w:tc>
        <w:tc>
          <w:tcPr>
            <w:tcW w:w="5670" w:type="dxa"/>
            <w:noWrap/>
            <w:vAlign w:val="center"/>
            <w:hideMark/>
          </w:tcPr>
          <w:p w14:paraId="4102307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Saturday</w:t>
            </w:r>
          </w:p>
        </w:tc>
        <w:tc>
          <w:tcPr>
            <w:tcW w:w="2268" w:type="dxa"/>
            <w:noWrap/>
            <w:vAlign w:val="center"/>
            <w:hideMark/>
          </w:tcPr>
          <w:p w14:paraId="0C0AD1B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61B92E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ADF575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526CA5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712BCB5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A17019F"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04_402_0104_1_1_T</w:t>
            </w:r>
          </w:p>
        </w:tc>
        <w:tc>
          <w:tcPr>
            <w:tcW w:w="5670" w:type="dxa"/>
            <w:noWrap/>
            <w:vAlign w:val="center"/>
            <w:hideMark/>
          </w:tcPr>
          <w:p w14:paraId="3FA6213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Saturday - TTP</w:t>
            </w:r>
          </w:p>
        </w:tc>
        <w:tc>
          <w:tcPr>
            <w:tcW w:w="2268" w:type="dxa"/>
            <w:noWrap/>
            <w:vAlign w:val="center"/>
            <w:hideMark/>
          </w:tcPr>
          <w:p w14:paraId="6355A08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6FD7CC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25A85DD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4724FDDC"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5297375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823DFE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04_403_0104_1_1</w:t>
            </w:r>
          </w:p>
        </w:tc>
        <w:tc>
          <w:tcPr>
            <w:tcW w:w="5670" w:type="dxa"/>
            <w:noWrap/>
            <w:vAlign w:val="center"/>
            <w:hideMark/>
          </w:tcPr>
          <w:p w14:paraId="535290E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Sunday</w:t>
            </w:r>
          </w:p>
        </w:tc>
        <w:tc>
          <w:tcPr>
            <w:tcW w:w="2268" w:type="dxa"/>
            <w:noWrap/>
            <w:vAlign w:val="center"/>
            <w:hideMark/>
          </w:tcPr>
          <w:p w14:paraId="218D561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62C935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71D220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3B06EC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5C675A6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E31E2B0"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04_403_0104_1_1_T</w:t>
            </w:r>
          </w:p>
        </w:tc>
        <w:tc>
          <w:tcPr>
            <w:tcW w:w="5670" w:type="dxa"/>
            <w:noWrap/>
            <w:vAlign w:val="center"/>
            <w:hideMark/>
          </w:tcPr>
          <w:p w14:paraId="2AD23F9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Sunday - TTP</w:t>
            </w:r>
          </w:p>
        </w:tc>
        <w:tc>
          <w:tcPr>
            <w:tcW w:w="2268" w:type="dxa"/>
            <w:noWrap/>
            <w:vAlign w:val="center"/>
            <w:hideMark/>
          </w:tcPr>
          <w:p w14:paraId="5EDF8DC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14DFA8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7910FF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431D76E7"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60F35F7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403FD22"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04_404_0104_1_1</w:t>
            </w:r>
          </w:p>
        </w:tc>
        <w:tc>
          <w:tcPr>
            <w:tcW w:w="5670" w:type="dxa"/>
            <w:noWrap/>
            <w:vAlign w:val="center"/>
            <w:hideMark/>
          </w:tcPr>
          <w:p w14:paraId="2812C16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Public Holiday</w:t>
            </w:r>
          </w:p>
        </w:tc>
        <w:tc>
          <w:tcPr>
            <w:tcW w:w="2268" w:type="dxa"/>
            <w:noWrap/>
            <w:vAlign w:val="center"/>
            <w:hideMark/>
          </w:tcPr>
          <w:p w14:paraId="7292E4F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86688F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0A105E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C6B71A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41C8C82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3A15B1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04_404_0104_1_1_T</w:t>
            </w:r>
          </w:p>
        </w:tc>
        <w:tc>
          <w:tcPr>
            <w:tcW w:w="5670" w:type="dxa"/>
            <w:noWrap/>
            <w:vAlign w:val="center"/>
            <w:hideMark/>
          </w:tcPr>
          <w:p w14:paraId="1030C14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2 - Public Holiday - TTP</w:t>
            </w:r>
          </w:p>
        </w:tc>
        <w:tc>
          <w:tcPr>
            <w:tcW w:w="2268" w:type="dxa"/>
            <w:noWrap/>
            <w:vAlign w:val="center"/>
            <w:hideMark/>
          </w:tcPr>
          <w:p w14:paraId="39726EC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610501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ADD31A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42C6055E"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5C5CAD8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EB46F2B"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04_500_0104_1_1</w:t>
            </w:r>
          </w:p>
        </w:tc>
        <w:tc>
          <w:tcPr>
            <w:tcW w:w="5670" w:type="dxa"/>
            <w:noWrap/>
            <w:vAlign w:val="center"/>
            <w:hideMark/>
          </w:tcPr>
          <w:p w14:paraId="7B19920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Weekday Daytime</w:t>
            </w:r>
          </w:p>
        </w:tc>
        <w:tc>
          <w:tcPr>
            <w:tcW w:w="2268" w:type="dxa"/>
            <w:noWrap/>
            <w:vAlign w:val="center"/>
            <w:hideMark/>
          </w:tcPr>
          <w:p w14:paraId="1F03BC0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6D506BA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413F823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C747FE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56BFBA5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A799BE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04_500_0104_1_1_T</w:t>
            </w:r>
          </w:p>
        </w:tc>
        <w:tc>
          <w:tcPr>
            <w:tcW w:w="5670" w:type="dxa"/>
            <w:noWrap/>
            <w:vAlign w:val="center"/>
            <w:hideMark/>
          </w:tcPr>
          <w:p w14:paraId="565F164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Weekday Daytime - TTP</w:t>
            </w:r>
          </w:p>
        </w:tc>
        <w:tc>
          <w:tcPr>
            <w:tcW w:w="2268" w:type="dxa"/>
            <w:noWrap/>
            <w:vAlign w:val="center"/>
            <w:hideMark/>
          </w:tcPr>
          <w:p w14:paraId="18E5A8F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D8EB33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267D148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7893B96"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3D195F9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45C7513"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04_501_0104_1_1</w:t>
            </w:r>
          </w:p>
        </w:tc>
        <w:tc>
          <w:tcPr>
            <w:tcW w:w="5670" w:type="dxa"/>
            <w:noWrap/>
            <w:vAlign w:val="center"/>
            <w:hideMark/>
          </w:tcPr>
          <w:p w14:paraId="3A0408B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Weekday Evening</w:t>
            </w:r>
          </w:p>
        </w:tc>
        <w:tc>
          <w:tcPr>
            <w:tcW w:w="2268" w:type="dxa"/>
            <w:noWrap/>
            <w:vAlign w:val="center"/>
            <w:hideMark/>
          </w:tcPr>
          <w:p w14:paraId="47CFDBE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C3505D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692CD9E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78B1190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305A972F"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1759D25"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04_501_0104_1_1_T</w:t>
            </w:r>
          </w:p>
        </w:tc>
        <w:tc>
          <w:tcPr>
            <w:tcW w:w="5670" w:type="dxa"/>
            <w:noWrap/>
            <w:vAlign w:val="center"/>
            <w:hideMark/>
          </w:tcPr>
          <w:p w14:paraId="681A542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Weekday Evening - TTP</w:t>
            </w:r>
          </w:p>
        </w:tc>
        <w:tc>
          <w:tcPr>
            <w:tcW w:w="2268" w:type="dxa"/>
            <w:noWrap/>
            <w:vAlign w:val="center"/>
            <w:hideMark/>
          </w:tcPr>
          <w:p w14:paraId="551A5EF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FB9EF9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4B284C3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6401B3C6"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73D168E0"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E66C144"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04_502_0104_1_1</w:t>
            </w:r>
          </w:p>
        </w:tc>
        <w:tc>
          <w:tcPr>
            <w:tcW w:w="5670" w:type="dxa"/>
            <w:noWrap/>
            <w:vAlign w:val="center"/>
            <w:hideMark/>
          </w:tcPr>
          <w:p w14:paraId="6711035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Saturday</w:t>
            </w:r>
          </w:p>
        </w:tc>
        <w:tc>
          <w:tcPr>
            <w:tcW w:w="2268" w:type="dxa"/>
            <w:noWrap/>
            <w:vAlign w:val="center"/>
            <w:hideMark/>
          </w:tcPr>
          <w:p w14:paraId="12BA6FA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5596ED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22FD476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9A82CF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5BFFADD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3B14A3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04_502_0104_1_1_T</w:t>
            </w:r>
          </w:p>
        </w:tc>
        <w:tc>
          <w:tcPr>
            <w:tcW w:w="5670" w:type="dxa"/>
            <w:noWrap/>
            <w:vAlign w:val="center"/>
            <w:hideMark/>
          </w:tcPr>
          <w:p w14:paraId="03790F1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Saturday - TTP</w:t>
            </w:r>
          </w:p>
        </w:tc>
        <w:tc>
          <w:tcPr>
            <w:tcW w:w="2268" w:type="dxa"/>
            <w:noWrap/>
            <w:vAlign w:val="center"/>
            <w:hideMark/>
          </w:tcPr>
          <w:p w14:paraId="56451A3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40C35B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5375264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04AADF0"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3E8D8FD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ABD399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04_503_0104_1_1</w:t>
            </w:r>
          </w:p>
        </w:tc>
        <w:tc>
          <w:tcPr>
            <w:tcW w:w="5670" w:type="dxa"/>
            <w:noWrap/>
            <w:vAlign w:val="center"/>
            <w:hideMark/>
          </w:tcPr>
          <w:p w14:paraId="48584FC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Sunday</w:t>
            </w:r>
          </w:p>
        </w:tc>
        <w:tc>
          <w:tcPr>
            <w:tcW w:w="2268" w:type="dxa"/>
            <w:noWrap/>
            <w:vAlign w:val="center"/>
            <w:hideMark/>
          </w:tcPr>
          <w:p w14:paraId="7EFA001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57E1D73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0E0AD5D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50BB5A8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78AE801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7D402EC"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04_503_0104_1_1_T</w:t>
            </w:r>
          </w:p>
        </w:tc>
        <w:tc>
          <w:tcPr>
            <w:tcW w:w="5670" w:type="dxa"/>
            <w:noWrap/>
            <w:vAlign w:val="center"/>
            <w:hideMark/>
          </w:tcPr>
          <w:p w14:paraId="7B80ED1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Sunday - TTP</w:t>
            </w:r>
          </w:p>
        </w:tc>
        <w:tc>
          <w:tcPr>
            <w:tcW w:w="2268" w:type="dxa"/>
            <w:noWrap/>
            <w:vAlign w:val="center"/>
            <w:hideMark/>
          </w:tcPr>
          <w:p w14:paraId="1C13EDD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397EF0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36B8BF0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68860659"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3ABA05E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975B512"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04_504_0104_1_1</w:t>
            </w:r>
          </w:p>
        </w:tc>
        <w:tc>
          <w:tcPr>
            <w:tcW w:w="5670" w:type="dxa"/>
            <w:noWrap/>
            <w:vAlign w:val="center"/>
            <w:hideMark/>
          </w:tcPr>
          <w:p w14:paraId="13B059F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Public Holiday</w:t>
            </w:r>
          </w:p>
        </w:tc>
        <w:tc>
          <w:tcPr>
            <w:tcW w:w="2268" w:type="dxa"/>
            <w:noWrap/>
            <w:vAlign w:val="center"/>
            <w:hideMark/>
          </w:tcPr>
          <w:p w14:paraId="6F783E2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2F668A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721A28A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7095B7D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7306C7C2"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D821AB6"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04_504_0104_1_1_T</w:t>
            </w:r>
          </w:p>
        </w:tc>
        <w:tc>
          <w:tcPr>
            <w:tcW w:w="5670" w:type="dxa"/>
            <w:noWrap/>
            <w:vAlign w:val="center"/>
            <w:hideMark/>
          </w:tcPr>
          <w:p w14:paraId="534761C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Access Community Social And Rec Activities - Level 3 - Public Holiday - TTP</w:t>
            </w:r>
          </w:p>
        </w:tc>
        <w:tc>
          <w:tcPr>
            <w:tcW w:w="2268" w:type="dxa"/>
            <w:noWrap/>
            <w:vAlign w:val="center"/>
            <w:hideMark/>
          </w:tcPr>
          <w:p w14:paraId="747EE8D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3B70F8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60DC0B2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74A4D831"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78066B3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62A5655"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04_600_0104_6_1</w:t>
            </w:r>
          </w:p>
        </w:tc>
        <w:tc>
          <w:tcPr>
            <w:tcW w:w="5670" w:type="dxa"/>
            <w:noWrap/>
            <w:vAlign w:val="center"/>
            <w:hideMark/>
          </w:tcPr>
          <w:p w14:paraId="013EFAA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Weekday Daytime</w:t>
            </w:r>
          </w:p>
        </w:tc>
        <w:tc>
          <w:tcPr>
            <w:tcW w:w="2268" w:type="dxa"/>
            <w:noWrap/>
            <w:vAlign w:val="center"/>
            <w:hideMark/>
          </w:tcPr>
          <w:p w14:paraId="6821E71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7AAB60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6B15B54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AD77DE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549B557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94C552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04_600_0104_6_1_T</w:t>
            </w:r>
          </w:p>
        </w:tc>
        <w:tc>
          <w:tcPr>
            <w:tcW w:w="5670" w:type="dxa"/>
            <w:noWrap/>
            <w:vAlign w:val="center"/>
            <w:hideMark/>
          </w:tcPr>
          <w:p w14:paraId="706BA54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Weekday Daytime - TTP</w:t>
            </w:r>
          </w:p>
        </w:tc>
        <w:tc>
          <w:tcPr>
            <w:tcW w:w="2268" w:type="dxa"/>
            <w:noWrap/>
            <w:vAlign w:val="center"/>
            <w:hideMark/>
          </w:tcPr>
          <w:p w14:paraId="6CB0E5D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96E60E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7A88DBE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F6A1B04"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67636F0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62AE7E2"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04_601_0104_6_1</w:t>
            </w:r>
          </w:p>
        </w:tc>
        <w:tc>
          <w:tcPr>
            <w:tcW w:w="5670" w:type="dxa"/>
            <w:noWrap/>
            <w:vAlign w:val="center"/>
            <w:hideMark/>
          </w:tcPr>
          <w:p w14:paraId="170EBCA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Weekday Evening</w:t>
            </w:r>
          </w:p>
        </w:tc>
        <w:tc>
          <w:tcPr>
            <w:tcW w:w="2268" w:type="dxa"/>
            <w:noWrap/>
            <w:vAlign w:val="center"/>
            <w:hideMark/>
          </w:tcPr>
          <w:p w14:paraId="2B67BCD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5C5499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CA527D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26F6DC0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417BD4C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CA736C2"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04_601_0104_6_1_T</w:t>
            </w:r>
          </w:p>
        </w:tc>
        <w:tc>
          <w:tcPr>
            <w:tcW w:w="5670" w:type="dxa"/>
            <w:noWrap/>
            <w:vAlign w:val="center"/>
            <w:hideMark/>
          </w:tcPr>
          <w:p w14:paraId="65EC9AC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Weekday Evening - TTP</w:t>
            </w:r>
          </w:p>
        </w:tc>
        <w:tc>
          <w:tcPr>
            <w:tcW w:w="2268" w:type="dxa"/>
            <w:noWrap/>
            <w:vAlign w:val="center"/>
            <w:hideMark/>
          </w:tcPr>
          <w:p w14:paraId="40FB7AB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0A9FD34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30798DA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423D3735"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47393A4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69EBF0B"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04_602_0104_6_1</w:t>
            </w:r>
          </w:p>
        </w:tc>
        <w:tc>
          <w:tcPr>
            <w:tcW w:w="5670" w:type="dxa"/>
            <w:noWrap/>
            <w:vAlign w:val="center"/>
            <w:hideMark/>
          </w:tcPr>
          <w:p w14:paraId="5313E04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Saturday</w:t>
            </w:r>
          </w:p>
        </w:tc>
        <w:tc>
          <w:tcPr>
            <w:tcW w:w="2268" w:type="dxa"/>
            <w:noWrap/>
            <w:vAlign w:val="center"/>
            <w:hideMark/>
          </w:tcPr>
          <w:p w14:paraId="3C9041D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539949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0D0732E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837FED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017D357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97E89E4"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04_602_0104_6_1_T</w:t>
            </w:r>
          </w:p>
        </w:tc>
        <w:tc>
          <w:tcPr>
            <w:tcW w:w="5670" w:type="dxa"/>
            <w:noWrap/>
            <w:vAlign w:val="center"/>
            <w:hideMark/>
          </w:tcPr>
          <w:p w14:paraId="067CDB9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Saturday - TTP</w:t>
            </w:r>
          </w:p>
        </w:tc>
        <w:tc>
          <w:tcPr>
            <w:tcW w:w="2268" w:type="dxa"/>
            <w:noWrap/>
            <w:vAlign w:val="center"/>
            <w:hideMark/>
          </w:tcPr>
          <w:p w14:paraId="7F00780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009BEB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20E7785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B0031A3"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7C2E49C2"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B793527"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04_603_0104_6_1</w:t>
            </w:r>
          </w:p>
        </w:tc>
        <w:tc>
          <w:tcPr>
            <w:tcW w:w="5670" w:type="dxa"/>
            <w:noWrap/>
            <w:vAlign w:val="center"/>
            <w:hideMark/>
          </w:tcPr>
          <w:p w14:paraId="33F8FCF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Sunday</w:t>
            </w:r>
          </w:p>
        </w:tc>
        <w:tc>
          <w:tcPr>
            <w:tcW w:w="2268" w:type="dxa"/>
            <w:noWrap/>
            <w:vAlign w:val="center"/>
            <w:hideMark/>
          </w:tcPr>
          <w:p w14:paraId="720DBFA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47EA31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59447EF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33C7344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297CD179"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6D084E0"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04_603_0104_6_1_T</w:t>
            </w:r>
          </w:p>
        </w:tc>
        <w:tc>
          <w:tcPr>
            <w:tcW w:w="5670" w:type="dxa"/>
            <w:noWrap/>
            <w:vAlign w:val="center"/>
            <w:hideMark/>
          </w:tcPr>
          <w:p w14:paraId="5886405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Sunday - TTP</w:t>
            </w:r>
          </w:p>
        </w:tc>
        <w:tc>
          <w:tcPr>
            <w:tcW w:w="2268" w:type="dxa"/>
            <w:noWrap/>
            <w:vAlign w:val="center"/>
            <w:hideMark/>
          </w:tcPr>
          <w:p w14:paraId="315F47F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2F577F1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4AB3FC2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75DC8F92"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70923AA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47CC522"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04_604_0104_6_1</w:t>
            </w:r>
          </w:p>
        </w:tc>
        <w:tc>
          <w:tcPr>
            <w:tcW w:w="5670" w:type="dxa"/>
            <w:noWrap/>
            <w:vAlign w:val="center"/>
            <w:hideMark/>
          </w:tcPr>
          <w:p w14:paraId="31A3695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Public Holiday</w:t>
            </w:r>
          </w:p>
        </w:tc>
        <w:tc>
          <w:tcPr>
            <w:tcW w:w="2268" w:type="dxa"/>
            <w:noWrap/>
            <w:vAlign w:val="center"/>
            <w:hideMark/>
          </w:tcPr>
          <w:p w14:paraId="650D0D1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0BC071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0867FD9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1878E26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0A63938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4E0B2B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04_604_0104_6_1_T</w:t>
            </w:r>
          </w:p>
        </w:tc>
        <w:tc>
          <w:tcPr>
            <w:tcW w:w="5670" w:type="dxa"/>
            <w:noWrap/>
            <w:vAlign w:val="center"/>
            <w:hideMark/>
          </w:tcPr>
          <w:p w14:paraId="2B3604F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Group Activities - High Intensity - Public Holiday - TTP</w:t>
            </w:r>
          </w:p>
        </w:tc>
        <w:tc>
          <w:tcPr>
            <w:tcW w:w="2268" w:type="dxa"/>
            <w:noWrap/>
            <w:vAlign w:val="center"/>
            <w:hideMark/>
          </w:tcPr>
          <w:p w14:paraId="5268EDF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E7EEB9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2</w:t>
            </w:r>
          </w:p>
        </w:tc>
        <w:tc>
          <w:tcPr>
            <w:tcW w:w="2085" w:type="dxa"/>
            <w:noWrap/>
            <w:vAlign w:val="center"/>
            <w:hideMark/>
          </w:tcPr>
          <w:p w14:paraId="0620A9D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2E1F85FA"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6DECECC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91E5A83"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04_801_0133_5_1</w:t>
            </w:r>
          </w:p>
        </w:tc>
        <w:tc>
          <w:tcPr>
            <w:tcW w:w="5670" w:type="dxa"/>
            <w:noWrap/>
            <w:vAlign w:val="center"/>
            <w:hideMark/>
          </w:tcPr>
          <w:p w14:paraId="0C83123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Weekday Daytime</w:t>
            </w:r>
          </w:p>
        </w:tc>
        <w:tc>
          <w:tcPr>
            <w:tcW w:w="2268" w:type="dxa"/>
            <w:noWrap/>
            <w:vAlign w:val="center"/>
            <w:hideMark/>
          </w:tcPr>
          <w:p w14:paraId="1B5F359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E9747E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CAF552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D62448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4C967F4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5455FFF"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04_801_0133_5_1_T</w:t>
            </w:r>
          </w:p>
        </w:tc>
        <w:tc>
          <w:tcPr>
            <w:tcW w:w="5670" w:type="dxa"/>
            <w:noWrap/>
            <w:vAlign w:val="center"/>
            <w:hideMark/>
          </w:tcPr>
          <w:p w14:paraId="4180864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Weekday Daytime - TTP</w:t>
            </w:r>
          </w:p>
        </w:tc>
        <w:tc>
          <w:tcPr>
            <w:tcW w:w="2268" w:type="dxa"/>
            <w:noWrap/>
            <w:vAlign w:val="center"/>
            <w:hideMark/>
          </w:tcPr>
          <w:p w14:paraId="7AAC97C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A469CE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1FE496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3519A3A"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3A4FB0C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49EC42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04_802_0133_5_1</w:t>
            </w:r>
          </w:p>
        </w:tc>
        <w:tc>
          <w:tcPr>
            <w:tcW w:w="5670" w:type="dxa"/>
            <w:noWrap/>
            <w:vAlign w:val="center"/>
            <w:hideMark/>
          </w:tcPr>
          <w:p w14:paraId="19D8E15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Weekday Evening</w:t>
            </w:r>
          </w:p>
        </w:tc>
        <w:tc>
          <w:tcPr>
            <w:tcW w:w="2268" w:type="dxa"/>
            <w:noWrap/>
            <w:vAlign w:val="center"/>
            <w:hideMark/>
          </w:tcPr>
          <w:p w14:paraId="3048BAA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12CF3B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648F11B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5FA7901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70822D5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E3E7846"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04_802_0133_5_1_T</w:t>
            </w:r>
          </w:p>
        </w:tc>
        <w:tc>
          <w:tcPr>
            <w:tcW w:w="5670" w:type="dxa"/>
            <w:noWrap/>
            <w:vAlign w:val="center"/>
            <w:hideMark/>
          </w:tcPr>
          <w:p w14:paraId="5D98DA1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Weekday Evening - TTP</w:t>
            </w:r>
          </w:p>
        </w:tc>
        <w:tc>
          <w:tcPr>
            <w:tcW w:w="2268" w:type="dxa"/>
            <w:noWrap/>
            <w:vAlign w:val="center"/>
            <w:hideMark/>
          </w:tcPr>
          <w:p w14:paraId="4BF2805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31324BF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19A269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41C6539B"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00471349"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D130A46"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04_803_0133_5_1</w:t>
            </w:r>
          </w:p>
        </w:tc>
        <w:tc>
          <w:tcPr>
            <w:tcW w:w="5670" w:type="dxa"/>
            <w:noWrap/>
            <w:vAlign w:val="center"/>
            <w:hideMark/>
          </w:tcPr>
          <w:p w14:paraId="6E7DEFF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Saturday</w:t>
            </w:r>
          </w:p>
        </w:tc>
        <w:tc>
          <w:tcPr>
            <w:tcW w:w="2268" w:type="dxa"/>
            <w:noWrap/>
            <w:vAlign w:val="center"/>
            <w:hideMark/>
          </w:tcPr>
          <w:p w14:paraId="706C2DC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124EAC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04EE8A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6E3EF4E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336A230A"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1BB83CD"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04_803_0133_5_1_T</w:t>
            </w:r>
          </w:p>
        </w:tc>
        <w:tc>
          <w:tcPr>
            <w:tcW w:w="5670" w:type="dxa"/>
            <w:noWrap/>
            <w:vAlign w:val="center"/>
            <w:hideMark/>
          </w:tcPr>
          <w:p w14:paraId="51BC36B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Saturday - TTP</w:t>
            </w:r>
          </w:p>
        </w:tc>
        <w:tc>
          <w:tcPr>
            <w:tcW w:w="2268" w:type="dxa"/>
            <w:noWrap/>
            <w:vAlign w:val="center"/>
            <w:hideMark/>
          </w:tcPr>
          <w:p w14:paraId="3C8C4AF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D24FE4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F3C097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7D43F710"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58A5DBF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9CF04C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04_804_0133_5_1</w:t>
            </w:r>
          </w:p>
        </w:tc>
        <w:tc>
          <w:tcPr>
            <w:tcW w:w="5670" w:type="dxa"/>
            <w:noWrap/>
            <w:vAlign w:val="center"/>
            <w:hideMark/>
          </w:tcPr>
          <w:p w14:paraId="65F757C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Sunday</w:t>
            </w:r>
          </w:p>
        </w:tc>
        <w:tc>
          <w:tcPr>
            <w:tcW w:w="2268" w:type="dxa"/>
            <w:noWrap/>
            <w:vAlign w:val="center"/>
            <w:hideMark/>
          </w:tcPr>
          <w:p w14:paraId="5CF049E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951365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B9E32E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4F144B9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3998FE7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DF47E53"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04_804_0133_5_1_T</w:t>
            </w:r>
          </w:p>
        </w:tc>
        <w:tc>
          <w:tcPr>
            <w:tcW w:w="5670" w:type="dxa"/>
            <w:noWrap/>
            <w:vAlign w:val="center"/>
            <w:hideMark/>
          </w:tcPr>
          <w:p w14:paraId="579F300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Sunday - TTP</w:t>
            </w:r>
          </w:p>
        </w:tc>
        <w:tc>
          <w:tcPr>
            <w:tcW w:w="2268" w:type="dxa"/>
            <w:noWrap/>
            <w:vAlign w:val="center"/>
            <w:hideMark/>
          </w:tcPr>
          <w:p w14:paraId="11039DA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2C48A6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8FD7C3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0F93F134"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1C77EF58"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D677D11"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04_805_0133_5_1</w:t>
            </w:r>
          </w:p>
        </w:tc>
        <w:tc>
          <w:tcPr>
            <w:tcW w:w="5670" w:type="dxa"/>
            <w:noWrap/>
            <w:vAlign w:val="center"/>
            <w:hideMark/>
          </w:tcPr>
          <w:p w14:paraId="4635BA7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Public Holiday</w:t>
            </w:r>
          </w:p>
        </w:tc>
        <w:tc>
          <w:tcPr>
            <w:tcW w:w="2268" w:type="dxa"/>
            <w:noWrap/>
            <w:vAlign w:val="center"/>
            <w:hideMark/>
          </w:tcPr>
          <w:p w14:paraId="1640019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088B4F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7938F2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42E669D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4A5DB90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025D551"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04_805_0133_5_1_T</w:t>
            </w:r>
          </w:p>
        </w:tc>
        <w:tc>
          <w:tcPr>
            <w:tcW w:w="5670" w:type="dxa"/>
            <w:noWrap/>
            <w:vAlign w:val="center"/>
            <w:hideMark/>
          </w:tcPr>
          <w:p w14:paraId="06754FC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Public Holiday - TTP</w:t>
            </w:r>
          </w:p>
        </w:tc>
        <w:tc>
          <w:tcPr>
            <w:tcW w:w="2268" w:type="dxa"/>
            <w:noWrap/>
            <w:vAlign w:val="center"/>
            <w:hideMark/>
          </w:tcPr>
          <w:p w14:paraId="5D83615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439EF5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0DA0BBC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6A5141FF"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4A9614A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88F9F14"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07_001_0106_8_3</w:t>
            </w:r>
          </w:p>
        </w:tc>
        <w:tc>
          <w:tcPr>
            <w:tcW w:w="5670" w:type="dxa"/>
            <w:noWrap/>
            <w:vAlign w:val="center"/>
            <w:hideMark/>
          </w:tcPr>
          <w:p w14:paraId="08D686D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Level 1: Support Connection</w:t>
            </w:r>
          </w:p>
        </w:tc>
        <w:tc>
          <w:tcPr>
            <w:tcW w:w="2268" w:type="dxa"/>
            <w:noWrap/>
            <w:vAlign w:val="center"/>
            <w:hideMark/>
          </w:tcPr>
          <w:p w14:paraId="28FF2E3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609C942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71EB668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EC9B0F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11F950EE"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AA2EAF5"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07_003_0117_8_3</w:t>
            </w:r>
          </w:p>
        </w:tc>
        <w:tc>
          <w:tcPr>
            <w:tcW w:w="5670" w:type="dxa"/>
            <w:noWrap/>
            <w:vAlign w:val="center"/>
            <w:hideMark/>
          </w:tcPr>
          <w:p w14:paraId="571CC43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CB and Training in Plan and Financial Management by a Support Coordinator</w:t>
            </w:r>
          </w:p>
        </w:tc>
        <w:tc>
          <w:tcPr>
            <w:tcW w:w="2268" w:type="dxa"/>
            <w:noWrap/>
            <w:vAlign w:val="center"/>
            <w:hideMark/>
          </w:tcPr>
          <w:p w14:paraId="05A0851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A1DA62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5E7C233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B6021B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522AB2D7"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4A274D5"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07_101_0106_6_3</w:t>
            </w:r>
          </w:p>
        </w:tc>
        <w:tc>
          <w:tcPr>
            <w:tcW w:w="5670" w:type="dxa"/>
            <w:noWrap/>
            <w:vAlign w:val="center"/>
            <w:hideMark/>
          </w:tcPr>
          <w:p w14:paraId="0768D5F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Psychosocial Recovery Coaching - Weekday Daytime</w:t>
            </w:r>
          </w:p>
        </w:tc>
        <w:tc>
          <w:tcPr>
            <w:tcW w:w="2268" w:type="dxa"/>
            <w:noWrap/>
            <w:vAlign w:val="center"/>
            <w:hideMark/>
          </w:tcPr>
          <w:p w14:paraId="5BE51C4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F79B3F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4</w:t>
            </w:r>
          </w:p>
        </w:tc>
        <w:tc>
          <w:tcPr>
            <w:tcW w:w="2085" w:type="dxa"/>
            <w:noWrap/>
            <w:vAlign w:val="center"/>
            <w:hideMark/>
          </w:tcPr>
          <w:p w14:paraId="7AF9059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E5807A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0AE8B5B0"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B1BB0C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07_102_0106_6_3</w:t>
            </w:r>
          </w:p>
        </w:tc>
        <w:tc>
          <w:tcPr>
            <w:tcW w:w="5670" w:type="dxa"/>
            <w:noWrap/>
            <w:vAlign w:val="center"/>
            <w:hideMark/>
          </w:tcPr>
          <w:p w14:paraId="0059B7D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Psychosocial Recovery Coaching - Weekday Evening</w:t>
            </w:r>
          </w:p>
        </w:tc>
        <w:tc>
          <w:tcPr>
            <w:tcW w:w="2268" w:type="dxa"/>
            <w:noWrap/>
            <w:vAlign w:val="center"/>
            <w:hideMark/>
          </w:tcPr>
          <w:p w14:paraId="0CEF262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D98491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4</w:t>
            </w:r>
          </w:p>
        </w:tc>
        <w:tc>
          <w:tcPr>
            <w:tcW w:w="2085" w:type="dxa"/>
            <w:noWrap/>
            <w:vAlign w:val="center"/>
            <w:hideMark/>
          </w:tcPr>
          <w:p w14:paraId="6639D1A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532D462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730CE9AF"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C8ED5EA"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07_103_0106_6_3</w:t>
            </w:r>
          </w:p>
        </w:tc>
        <w:tc>
          <w:tcPr>
            <w:tcW w:w="5670" w:type="dxa"/>
            <w:noWrap/>
            <w:vAlign w:val="center"/>
            <w:hideMark/>
          </w:tcPr>
          <w:p w14:paraId="2EB1359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Psychosocial Recovery Coaching - Weekday Night</w:t>
            </w:r>
          </w:p>
        </w:tc>
        <w:tc>
          <w:tcPr>
            <w:tcW w:w="2268" w:type="dxa"/>
            <w:noWrap/>
            <w:vAlign w:val="center"/>
            <w:hideMark/>
          </w:tcPr>
          <w:p w14:paraId="5F61DBE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83E75B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4</w:t>
            </w:r>
          </w:p>
        </w:tc>
        <w:tc>
          <w:tcPr>
            <w:tcW w:w="2085" w:type="dxa"/>
            <w:noWrap/>
            <w:vAlign w:val="center"/>
            <w:hideMark/>
          </w:tcPr>
          <w:p w14:paraId="1F37329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Night Loading</w:t>
            </w:r>
          </w:p>
        </w:tc>
        <w:tc>
          <w:tcPr>
            <w:tcW w:w="1159" w:type="dxa"/>
            <w:noWrap/>
            <w:vAlign w:val="center"/>
            <w:hideMark/>
          </w:tcPr>
          <w:p w14:paraId="239DAD4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5E54C0FB"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16DD290"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07_104_0106_6_3</w:t>
            </w:r>
          </w:p>
        </w:tc>
        <w:tc>
          <w:tcPr>
            <w:tcW w:w="5670" w:type="dxa"/>
            <w:noWrap/>
            <w:vAlign w:val="center"/>
            <w:hideMark/>
          </w:tcPr>
          <w:p w14:paraId="7D33BF0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Psychosocial Recovery Coaching - Saturday</w:t>
            </w:r>
          </w:p>
        </w:tc>
        <w:tc>
          <w:tcPr>
            <w:tcW w:w="2268" w:type="dxa"/>
            <w:noWrap/>
            <w:vAlign w:val="center"/>
            <w:hideMark/>
          </w:tcPr>
          <w:p w14:paraId="4534F5F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BCBFC9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4</w:t>
            </w:r>
          </w:p>
        </w:tc>
        <w:tc>
          <w:tcPr>
            <w:tcW w:w="2085" w:type="dxa"/>
            <w:noWrap/>
            <w:vAlign w:val="center"/>
            <w:hideMark/>
          </w:tcPr>
          <w:p w14:paraId="7BA5DEC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255F914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3C5F147D"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47C50DF"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07_105_0106_6_3</w:t>
            </w:r>
          </w:p>
        </w:tc>
        <w:tc>
          <w:tcPr>
            <w:tcW w:w="5670" w:type="dxa"/>
            <w:noWrap/>
            <w:vAlign w:val="center"/>
            <w:hideMark/>
          </w:tcPr>
          <w:p w14:paraId="6037663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Psychosocial Recovery Coaching - Sunday</w:t>
            </w:r>
          </w:p>
        </w:tc>
        <w:tc>
          <w:tcPr>
            <w:tcW w:w="2268" w:type="dxa"/>
            <w:noWrap/>
            <w:vAlign w:val="center"/>
            <w:hideMark/>
          </w:tcPr>
          <w:p w14:paraId="4859E2F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3B63F48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4</w:t>
            </w:r>
          </w:p>
        </w:tc>
        <w:tc>
          <w:tcPr>
            <w:tcW w:w="2085" w:type="dxa"/>
            <w:noWrap/>
            <w:vAlign w:val="center"/>
            <w:hideMark/>
          </w:tcPr>
          <w:p w14:paraId="04A94CC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6DF3C87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0B6F1D84"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6A1D85A"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07_106_0106_6_3</w:t>
            </w:r>
          </w:p>
        </w:tc>
        <w:tc>
          <w:tcPr>
            <w:tcW w:w="5670" w:type="dxa"/>
            <w:noWrap/>
            <w:vAlign w:val="center"/>
            <w:hideMark/>
          </w:tcPr>
          <w:p w14:paraId="29F5BF7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Psychosocial Recovery Coaching - Public Holiday</w:t>
            </w:r>
          </w:p>
        </w:tc>
        <w:tc>
          <w:tcPr>
            <w:tcW w:w="2268" w:type="dxa"/>
            <w:noWrap/>
            <w:vAlign w:val="center"/>
            <w:hideMark/>
          </w:tcPr>
          <w:p w14:paraId="53BF696F"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13CB76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4</w:t>
            </w:r>
          </w:p>
        </w:tc>
        <w:tc>
          <w:tcPr>
            <w:tcW w:w="2085" w:type="dxa"/>
            <w:noWrap/>
            <w:vAlign w:val="center"/>
            <w:hideMark/>
          </w:tcPr>
          <w:p w14:paraId="4155538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0171F27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11F4BE8C"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0CC0E7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08_005_0106_2_3</w:t>
            </w:r>
          </w:p>
        </w:tc>
        <w:tc>
          <w:tcPr>
            <w:tcW w:w="5670" w:type="dxa"/>
            <w:noWrap/>
            <w:vAlign w:val="center"/>
            <w:hideMark/>
          </w:tcPr>
          <w:p w14:paraId="6F53FBC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Accommodation And Tenancy Obligations</w:t>
            </w:r>
          </w:p>
        </w:tc>
        <w:tc>
          <w:tcPr>
            <w:tcW w:w="2268" w:type="dxa"/>
            <w:noWrap/>
            <w:vAlign w:val="center"/>
            <w:hideMark/>
          </w:tcPr>
          <w:p w14:paraId="03EFE6B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5724B5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2CC18BD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181FAB2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099055F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53EC51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09_006_0106_6_3</w:t>
            </w:r>
          </w:p>
        </w:tc>
        <w:tc>
          <w:tcPr>
            <w:tcW w:w="5670" w:type="dxa"/>
            <w:noWrap/>
            <w:vAlign w:val="center"/>
            <w:hideMark/>
          </w:tcPr>
          <w:p w14:paraId="041CFBF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 xml:space="preserve">Life Transition Planning Incl. Mentoring Peer-Support And </w:t>
            </w:r>
            <w:proofErr w:type="spellStart"/>
            <w:r w:rsidRPr="00AE0D61">
              <w:rPr>
                <w:rFonts w:ascii="Calibri" w:eastAsia="Times New Roman" w:hAnsi="Calibri" w:cs="Calibri"/>
                <w:color w:val="000000"/>
                <w:sz w:val="16"/>
                <w:szCs w:val="16"/>
                <w:lang w:eastAsia="en-AU"/>
              </w:rPr>
              <w:t>Indiv</w:t>
            </w:r>
            <w:proofErr w:type="spellEnd"/>
            <w:r w:rsidRPr="00AE0D61">
              <w:rPr>
                <w:rFonts w:ascii="Calibri" w:eastAsia="Times New Roman" w:hAnsi="Calibri" w:cs="Calibri"/>
                <w:color w:val="000000"/>
                <w:sz w:val="16"/>
                <w:szCs w:val="16"/>
                <w:lang w:eastAsia="en-AU"/>
              </w:rPr>
              <w:t xml:space="preserve"> Skill Develop</w:t>
            </w:r>
          </w:p>
        </w:tc>
        <w:tc>
          <w:tcPr>
            <w:tcW w:w="2268" w:type="dxa"/>
            <w:noWrap/>
            <w:vAlign w:val="center"/>
            <w:hideMark/>
          </w:tcPr>
          <w:p w14:paraId="66FA4A0E"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2AF7DE7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021D695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D5F3C1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1EAEBDAC"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13F6E0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09_009_0117_6_3</w:t>
            </w:r>
          </w:p>
        </w:tc>
        <w:tc>
          <w:tcPr>
            <w:tcW w:w="5670" w:type="dxa"/>
            <w:noWrap/>
            <w:vAlign w:val="center"/>
            <w:hideMark/>
          </w:tcPr>
          <w:p w14:paraId="796DC9D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Skills Development And Training</w:t>
            </w:r>
          </w:p>
        </w:tc>
        <w:tc>
          <w:tcPr>
            <w:tcW w:w="2268" w:type="dxa"/>
            <w:noWrap/>
            <w:vAlign w:val="center"/>
            <w:hideMark/>
          </w:tcPr>
          <w:p w14:paraId="03E4B37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7C4CAF1"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53AA7809"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4DCBCE1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1DD508F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0AF3D7C"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10_016_0102_5_3</w:t>
            </w:r>
          </w:p>
        </w:tc>
        <w:tc>
          <w:tcPr>
            <w:tcW w:w="5670" w:type="dxa"/>
            <w:noWrap/>
            <w:vAlign w:val="center"/>
            <w:hideMark/>
          </w:tcPr>
          <w:p w14:paraId="4DD69B4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Employment Support</w:t>
            </w:r>
          </w:p>
        </w:tc>
        <w:tc>
          <w:tcPr>
            <w:tcW w:w="2268" w:type="dxa"/>
            <w:noWrap/>
            <w:vAlign w:val="center"/>
            <w:hideMark/>
          </w:tcPr>
          <w:p w14:paraId="3D0F0B5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532023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6A8AA42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3C87FA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6DD0C63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0C5145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10_801_0133_5_1_D</w:t>
            </w:r>
          </w:p>
        </w:tc>
        <w:tc>
          <w:tcPr>
            <w:tcW w:w="5670" w:type="dxa"/>
            <w:noWrap/>
            <w:vAlign w:val="center"/>
            <w:hideMark/>
          </w:tcPr>
          <w:p w14:paraId="73AB159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Weekday Daytime</w:t>
            </w:r>
          </w:p>
        </w:tc>
        <w:tc>
          <w:tcPr>
            <w:tcW w:w="2268" w:type="dxa"/>
            <w:noWrap/>
            <w:vAlign w:val="center"/>
            <w:hideMark/>
          </w:tcPr>
          <w:p w14:paraId="0567371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63B937E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3A2B53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40EFB7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3805013D"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D50ED3D"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10_801_0133_5_1_T_D</w:t>
            </w:r>
          </w:p>
        </w:tc>
        <w:tc>
          <w:tcPr>
            <w:tcW w:w="5670" w:type="dxa"/>
            <w:noWrap/>
            <w:vAlign w:val="center"/>
            <w:hideMark/>
          </w:tcPr>
          <w:p w14:paraId="24AA457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Weekday Daytime - TTP</w:t>
            </w:r>
          </w:p>
        </w:tc>
        <w:tc>
          <w:tcPr>
            <w:tcW w:w="2268" w:type="dxa"/>
            <w:noWrap/>
            <w:vAlign w:val="center"/>
            <w:hideMark/>
          </w:tcPr>
          <w:p w14:paraId="33375C9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6DE6EFF4"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F90563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6F47FEC0"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2148DC6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30D53CF"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10_802_0133_5_1_D</w:t>
            </w:r>
          </w:p>
        </w:tc>
        <w:tc>
          <w:tcPr>
            <w:tcW w:w="5670" w:type="dxa"/>
            <w:noWrap/>
            <w:vAlign w:val="center"/>
            <w:hideMark/>
          </w:tcPr>
          <w:p w14:paraId="2154ED1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Weekday Evening</w:t>
            </w:r>
          </w:p>
        </w:tc>
        <w:tc>
          <w:tcPr>
            <w:tcW w:w="2268" w:type="dxa"/>
            <w:noWrap/>
            <w:vAlign w:val="center"/>
            <w:hideMark/>
          </w:tcPr>
          <w:p w14:paraId="52184A5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8E9EF2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187D64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23341CFD"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05A0006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33CCBCB"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10_802_0133_5_1_T_D</w:t>
            </w:r>
          </w:p>
        </w:tc>
        <w:tc>
          <w:tcPr>
            <w:tcW w:w="5670" w:type="dxa"/>
            <w:noWrap/>
            <w:vAlign w:val="center"/>
            <w:hideMark/>
          </w:tcPr>
          <w:p w14:paraId="4E62D2D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Weekday Evening - TTP</w:t>
            </w:r>
          </w:p>
        </w:tc>
        <w:tc>
          <w:tcPr>
            <w:tcW w:w="2268" w:type="dxa"/>
            <w:noWrap/>
            <w:vAlign w:val="center"/>
            <w:hideMark/>
          </w:tcPr>
          <w:p w14:paraId="403F160A"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4F3D544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ED5F43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Evening Loading</w:t>
            </w:r>
          </w:p>
        </w:tc>
        <w:tc>
          <w:tcPr>
            <w:tcW w:w="1159" w:type="dxa"/>
            <w:noWrap/>
            <w:vAlign w:val="center"/>
            <w:hideMark/>
          </w:tcPr>
          <w:p w14:paraId="7105C694"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01402D35"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63BFA6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10_803_0133_5_1_D</w:t>
            </w:r>
          </w:p>
        </w:tc>
        <w:tc>
          <w:tcPr>
            <w:tcW w:w="5670" w:type="dxa"/>
            <w:noWrap/>
            <w:vAlign w:val="center"/>
            <w:hideMark/>
          </w:tcPr>
          <w:p w14:paraId="260342B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Saturday</w:t>
            </w:r>
          </w:p>
        </w:tc>
        <w:tc>
          <w:tcPr>
            <w:tcW w:w="2268" w:type="dxa"/>
            <w:noWrap/>
            <w:vAlign w:val="center"/>
            <w:hideMark/>
          </w:tcPr>
          <w:p w14:paraId="6622A6B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5A62A49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550A36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51994D8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2629B40C"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612F2B8"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10_803_0133_5_1_T_D</w:t>
            </w:r>
          </w:p>
        </w:tc>
        <w:tc>
          <w:tcPr>
            <w:tcW w:w="5670" w:type="dxa"/>
            <w:noWrap/>
            <w:vAlign w:val="center"/>
            <w:hideMark/>
          </w:tcPr>
          <w:p w14:paraId="6FF6339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Saturday - TTP</w:t>
            </w:r>
          </w:p>
        </w:tc>
        <w:tc>
          <w:tcPr>
            <w:tcW w:w="2268" w:type="dxa"/>
            <w:noWrap/>
            <w:vAlign w:val="center"/>
            <w:hideMark/>
          </w:tcPr>
          <w:p w14:paraId="5327114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1CCE76A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7A9F447"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Saturday Loading</w:t>
            </w:r>
          </w:p>
        </w:tc>
        <w:tc>
          <w:tcPr>
            <w:tcW w:w="1159" w:type="dxa"/>
            <w:noWrap/>
            <w:vAlign w:val="center"/>
            <w:hideMark/>
          </w:tcPr>
          <w:p w14:paraId="0E0D0FF4"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0EE896CE"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8ECF0E0"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10_804_0133_5_1_D</w:t>
            </w:r>
          </w:p>
        </w:tc>
        <w:tc>
          <w:tcPr>
            <w:tcW w:w="5670" w:type="dxa"/>
            <w:noWrap/>
            <w:vAlign w:val="center"/>
            <w:hideMark/>
          </w:tcPr>
          <w:p w14:paraId="24E183EA"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Sunday</w:t>
            </w:r>
          </w:p>
        </w:tc>
        <w:tc>
          <w:tcPr>
            <w:tcW w:w="2268" w:type="dxa"/>
            <w:noWrap/>
            <w:vAlign w:val="center"/>
            <w:hideMark/>
          </w:tcPr>
          <w:p w14:paraId="7A8E66D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40D621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5077CCC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1EF7439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509E6173"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BEE10FD"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10_804_0133_5_1_T_D</w:t>
            </w:r>
          </w:p>
        </w:tc>
        <w:tc>
          <w:tcPr>
            <w:tcW w:w="5670" w:type="dxa"/>
            <w:noWrap/>
            <w:vAlign w:val="center"/>
            <w:hideMark/>
          </w:tcPr>
          <w:p w14:paraId="470E7D92"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Sunday - TTP</w:t>
            </w:r>
          </w:p>
        </w:tc>
        <w:tc>
          <w:tcPr>
            <w:tcW w:w="2268" w:type="dxa"/>
            <w:noWrap/>
            <w:vAlign w:val="center"/>
            <w:hideMark/>
          </w:tcPr>
          <w:p w14:paraId="11F424B5"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5E30DEF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3E7625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Sunday Loading</w:t>
            </w:r>
          </w:p>
        </w:tc>
        <w:tc>
          <w:tcPr>
            <w:tcW w:w="1159" w:type="dxa"/>
            <w:noWrap/>
            <w:vAlign w:val="center"/>
            <w:hideMark/>
          </w:tcPr>
          <w:p w14:paraId="2EB4293A"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0A29C44F"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70D4846"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10_805_0133_5_1_D</w:t>
            </w:r>
          </w:p>
        </w:tc>
        <w:tc>
          <w:tcPr>
            <w:tcW w:w="5670" w:type="dxa"/>
            <w:noWrap/>
            <w:vAlign w:val="center"/>
            <w:hideMark/>
          </w:tcPr>
          <w:p w14:paraId="039A9AE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Public Holiday</w:t>
            </w:r>
          </w:p>
        </w:tc>
        <w:tc>
          <w:tcPr>
            <w:tcW w:w="2268" w:type="dxa"/>
            <w:noWrap/>
            <w:vAlign w:val="center"/>
            <w:hideMark/>
          </w:tcPr>
          <w:p w14:paraId="5D35FC0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B120CB3"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7E7E3AC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4BA16844"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70D8B7A8"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F5CC8BC"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10_805_0133_5_1_T_D</w:t>
            </w:r>
          </w:p>
        </w:tc>
        <w:tc>
          <w:tcPr>
            <w:tcW w:w="5670" w:type="dxa"/>
            <w:noWrap/>
            <w:vAlign w:val="center"/>
            <w:hideMark/>
          </w:tcPr>
          <w:p w14:paraId="258DE3C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Supports In Employment - Public Holiday - TTP</w:t>
            </w:r>
          </w:p>
        </w:tc>
        <w:tc>
          <w:tcPr>
            <w:tcW w:w="2268" w:type="dxa"/>
            <w:noWrap/>
            <w:vAlign w:val="center"/>
            <w:hideMark/>
          </w:tcPr>
          <w:p w14:paraId="4F6869DD"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Derived from DSW Model</w:t>
            </w:r>
          </w:p>
        </w:tc>
        <w:tc>
          <w:tcPr>
            <w:tcW w:w="786" w:type="dxa"/>
            <w:noWrap/>
            <w:vAlign w:val="center"/>
            <w:hideMark/>
          </w:tcPr>
          <w:p w14:paraId="73B226F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148CB55C"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Public Holiday Loading</w:t>
            </w:r>
          </w:p>
        </w:tc>
        <w:tc>
          <w:tcPr>
            <w:tcW w:w="1159" w:type="dxa"/>
            <w:noWrap/>
            <w:vAlign w:val="center"/>
            <w:hideMark/>
          </w:tcPr>
          <w:p w14:paraId="75163ABF" w14:textId="77777777" w:rsidR="00325407" w:rsidRPr="00AE0D61" w:rsidRDefault="00093FC9"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Pr>
                <w:rFonts w:ascii="Calibri" w:eastAsia="Times New Roman" w:hAnsi="Calibri" w:cs="Calibri"/>
                <w:color w:val="000000"/>
                <w:sz w:val="16"/>
                <w:szCs w:val="16"/>
                <w:lang w:eastAsia="en-AU"/>
              </w:rPr>
              <w:t>See Note 1</w:t>
            </w:r>
          </w:p>
        </w:tc>
      </w:tr>
      <w:tr w:rsidR="00325407" w:rsidRPr="00AE0D61" w14:paraId="7D60518B"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50A950D"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11_024_0117_7_3</w:t>
            </w:r>
          </w:p>
        </w:tc>
        <w:tc>
          <w:tcPr>
            <w:tcW w:w="5670" w:type="dxa"/>
            <w:noWrap/>
            <w:vAlign w:val="center"/>
            <w:hideMark/>
          </w:tcPr>
          <w:p w14:paraId="4204F8A7"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Individual Social Skills Development</w:t>
            </w:r>
          </w:p>
        </w:tc>
        <w:tc>
          <w:tcPr>
            <w:tcW w:w="2268" w:type="dxa"/>
            <w:noWrap/>
            <w:vAlign w:val="center"/>
            <w:hideMark/>
          </w:tcPr>
          <w:p w14:paraId="53C3EBD8"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1E3B9AC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6FACBD6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0EBB3DF"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149FAFD6"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3253209"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13_030_0102_4_3</w:t>
            </w:r>
          </w:p>
        </w:tc>
        <w:tc>
          <w:tcPr>
            <w:tcW w:w="5670" w:type="dxa"/>
            <w:noWrap/>
            <w:vAlign w:val="center"/>
            <w:hideMark/>
          </w:tcPr>
          <w:p w14:paraId="74FD7CE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Transition Through School And To Further Education</w:t>
            </w:r>
          </w:p>
        </w:tc>
        <w:tc>
          <w:tcPr>
            <w:tcW w:w="2268" w:type="dxa"/>
            <w:noWrap/>
            <w:vAlign w:val="center"/>
            <w:hideMark/>
          </w:tcPr>
          <w:p w14:paraId="3BAC961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6706957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02A00CE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11B051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28B75A71"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D2952BF"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14_031_0127_8_3</w:t>
            </w:r>
          </w:p>
        </w:tc>
        <w:tc>
          <w:tcPr>
            <w:tcW w:w="5670" w:type="dxa"/>
            <w:noWrap/>
            <w:vAlign w:val="center"/>
            <w:hideMark/>
          </w:tcPr>
          <w:p w14:paraId="4558577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CB and Training in Plan and Financial Management by a Plan Manager</w:t>
            </w:r>
          </w:p>
        </w:tc>
        <w:tc>
          <w:tcPr>
            <w:tcW w:w="2268" w:type="dxa"/>
            <w:noWrap/>
            <w:vAlign w:val="center"/>
            <w:hideMark/>
          </w:tcPr>
          <w:p w14:paraId="691FF6D2"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0A4CD5E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40B6727B"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3252ACAE"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38F8F657"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D15629E"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15_035_0106_1_3</w:t>
            </w:r>
          </w:p>
        </w:tc>
        <w:tc>
          <w:tcPr>
            <w:tcW w:w="5670" w:type="dxa"/>
            <w:noWrap/>
            <w:vAlign w:val="center"/>
            <w:hideMark/>
          </w:tcPr>
          <w:p w14:paraId="5874F866"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Assistance With Decision Making Daily Planning and Budgeting</w:t>
            </w:r>
          </w:p>
        </w:tc>
        <w:tc>
          <w:tcPr>
            <w:tcW w:w="2268" w:type="dxa"/>
            <w:noWrap/>
            <w:vAlign w:val="center"/>
            <w:hideMark/>
          </w:tcPr>
          <w:p w14:paraId="1A6A595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7CF1405B"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4E3ECB4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5A097C7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r w:rsidR="00325407" w:rsidRPr="00AE0D61" w14:paraId="7D0E35D6" w14:textId="77777777" w:rsidTr="00315545">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20F2CEA"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15_037_0117_1_3</w:t>
            </w:r>
          </w:p>
        </w:tc>
        <w:tc>
          <w:tcPr>
            <w:tcW w:w="5670" w:type="dxa"/>
            <w:noWrap/>
            <w:vAlign w:val="center"/>
            <w:hideMark/>
          </w:tcPr>
          <w:p w14:paraId="5B3AE78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Individual Skill Development And Training Including Public Transport Training</w:t>
            </w:r>
          </w:p>
        </w:tc>
        <w:tc>
          <w:tcPr>
            <w:tcW w:w="2268" w:type="dxa"/>
            <w:noWrap/>
            <w:vAlign w:val="center"/>
            <w:hideMark/>
          </w:tcPr>
          <w:p w14:paraId="7DD0C356"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CE2BB45"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1</w:t>
            </w:r>
          </w:p>
        </w:tc>
        <w:tc>
          <w:tcPr>
            <w:tcW w:w="2085" w:type="dxa"/>
            <w:noWrap/>
            <w:vAlign w:val="center"/>
            <w:hideMark/>
          </w:tcPr>
          <w:p w14:paraId="313717D0"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299966EC" w14:textId="77777777" w:rsidR="00325407" w:rsidRPr="00AE0D61" w:rsidRDefault="00325407" w:rsidP="00325407">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AU"/>
              </w:rPr>
            </w:pPr>
          </w:p>
        </w:tc>
      </w:tr>
      <w:tr w:rsidR="00325407" w:rsidRPr="00AE0D61" w14:paraId="337ECF81" w14:textId="77777777" w:rsidTr="00315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534453C" w14:textId="77777777" w:rsidR="00325407" w:rsidRPr="00AE0D61" w:rsidRDefault="00325407" w:rsidP="00325407">
            <w:pPr>
              <w:spacing w:before="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15_038_0117_1_3</w:t>
            </w:r>
          </w:p>
        </w:tc>
        <w:tc>
          <w:tcPr>
            <w:tcW w:w="5670" w:type="dxa"/>
            <w:noWrap/>
            <w:vAlign w:val="center"/>
            <w:hideMark/>
          </w:tcPr>
          <w:p w14:paraId="6150D740"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Training For Carers/Parents</w:t>
            </w:r>
          </w:p>
        </w:tc>
        <w:tc>
          <w:tcPr>
            <w:tcW w:w="2268" w:type="dxa"/>
            <w:noWrap/>
            <w:vAlign w:val="center"/>
            <w:hideMark/>
          </w:tcPr>
          <w:p w14:paraId="755EA4E3"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Determined by DSW model</w:t>
            </w:r>
          </w:p>
        </w:tc>
        <w:tc>
          <w:tcPr>
            <w:tcW w:w="786" w:type="dxa"/>
            <w:noWrap/>
            <w:vAlign w:val="center"/>
            <w:hideMark/>
          </w:tcPr>
          <w:p w14:paraId="4AE89538"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r w:rsidRPr="00AE0D61">
              <w:rPr>
                <w:rFonts w:ascii="Calibri" w:eastAsia="Times New Roman" w:hAnsi="Calibri" w:cs="Calibri"/>
                <w:color w:val="000000"/>
                <w:sz w:val="16"/>
                <w:szCs w:val="16"/>
                <w:lang w:eastAsia="en-AU"/>
              </w:rPr>
              <w:t>DSW 3</w:t>
            </w:r>
          </w:p>
        </w:tc>
        <w:tc>
          <w:tcPr>
            <w:tcW w:w="2085" w:type="dxa"/>
            <w:noWrap/>
            <w:vAlign w:val="center"/>
            <w:hideMark/>
          </w:tcPr>
          <w:p w14:paraId="57B16FD1"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AU"/>
              </w:rPr>
            </w:pPr>
          </w:p>
        </w:tc>
        <w:tc>
          <w:tcPr>
            <w:tcW w:w="1159" w:type="dxa"/>
            <w:noWrap/>
            <w:vAlign w:val="center"/>
            <w:hideMark/>
          </w:tcPr>
          <w:p w14:paraId="4D1B8309" w14:textId="77777777" w:rsidR="00325407" w:rsidRPr="00AE0D61" w:rsidRDefault="00325407" w:rsidP="00325407">
            <w:pPr>
              <w:spacing w:befor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AU"/>
              </w:rPr>
            </w:pPr>
          </w:p>
        </w:tc>
      </w:tr>
    </w:tbl>
    <w:p w14:paraId="164DDE66" w14:textId="77777777" w:rsidR="00DC0A5C" w:rsidRDefault="00DC0A5C" w:rsidP="00315545">
      <w:pPr>
        <w:pStyle w:val="Heading2"/>
        <w:sectPr w:rsidR="00DC0A5C" w:rsidSect="00AE0D61">
          <w:pgSz w:w="16838" w:h="11906" w:orient="landscape" w:code="9"/>
          <w:pgMar w:top="1440" w:right="1440" w:bottom="1440" w:left="1440" w:header="709" w:footer="709" w:gutter="0"/>
          <w:cols w:space="708"/>
          <w:titlePg/>
          <w:docGrid w:linePitch="360"/>
        </w:sectPr>
      </w:pPr>
      <w:bookmarkStart w:id="40" w:name="_Toc46398746"/>
    </w:p>
    <w:p w14:paraId="22EB5C89" w14:textId="2AB90051" w:rsidR="00315545" w:rsidRDefault="00315545" w:rsidP="00315545">
      <w:pPr>
        <w:pStyle w:val="Heading2"/>
      </w:pPr>
      <w:r>
        <w:t>Notes</w:t>
      </w:r>
      <w:bookmarkEnd w:id="40"/>
    </w:p>
    <w:p w14:paraId="3A49B0FD" w14:textId="77777777" w:rsidR="00AE0D61" w:rsidRDefault="00AE0D61" w:rsidP="00093FC9">
      <w:pPr>
        <w:pStyle w:val="Heading3"/>
        <w:numPr>
          <w:ilvl w:val="0"/>
          <w:numId w:val="42"/>
        </w:numPr>
        <w:ind w:left="284" w:hanging="284"/>
      </w:pPr>
      <w:bookmarkStart w:id="41" w:name="_Toc46398747"/>
      <w:r>
        <w:t>Temporary Transformation Payment</w:t>
      </w:r>
      <w:r w:rsidR="00CD53B0">
        <w:t xml:space="preserve"> (TTP)</w:t>
      </w:r>
      <w:bookmarkEnd w:id="41"/>
    </w:p>
    <w:p w14:paraId="38179CBF" w14:textId="77777777" w:rsidR="00325407" w:rsidRDefault="0080661E" w:rsidP="0080661E">
      <w:pPr>
        <w:rPr>
          <w:rStyle w:val="Bodytext-GuideChar"/>
          <w:rFonts w:eastAsiaTheme="minorHAnsi"/>
        </w:rPr>
      </w:pPr>
      <w:r w:rsidRPr="00CA6C0A">
        <w:rPr>
          <w:rStyle w:val="Bodytext-GuideChar"/>
          <w:rFonts w:eastAsiaTheme="minorHAnsi"/>
        </w:rPr>
        <w:t xml:space="preserve">The </w:t>
      </w:r>
      <w:r w:rsidR="00D54BD6">
        <w:rPr>
          <w:rFonts w:ascii="Arial" w:eastAsia="Calibri" w:hAnsi="Arial" w:cs="Arial"/>
          <w:szCs w:val="24"/>
        </w:rPr>
        <w:t xml:space="preserve">2020-21 </w:t>
      </w:r>
      <w:r w:rsidRPr="00CA6C0A">
        <w:rPr>
          <w:rStyle w:val="Bodytext-GuideChar"/>
          <w:rFonts w:eastAsiaTheme="minorHAnsi"/>
        </w:rPr>
        <w:t xml:space="preserve">price limit for each TTP </w:t>
      </w:r>
      <w:r w:rsidR="00325407">
        <w:rPr>
          <w:rStyle w:val="Bodytext-GuideChar"/>
          <w:rFonts w:eastAsiaTheme="minorHAnsi"/>
        </w:rPr>
        <w:t xml:space="preserve">support </w:t>
      </w:r>
      <w:r w:rsidRPr="00CA6C0A">
        <w:rPr>
          <w:rStyle w:val="Bodytext-GuideChar"/>
          <w:rFonts w:eastAsiaTheme="minorHAnsi"/>
        </w:rPr>
        <w:t xml:space="preserve">item is higher than the price limit for the </w:t>
      </w:r>
      <w:r w:rsidR="00325407">
        <w:rPr>
          <w:rStyle w:val="Bodytext-GuideChar"/>
          <w:rFonts w:eastAsiaTheme="minorHAnsi"/>
        </w:rPr>
        <w:t xml:space="preserve">equivalent </w:t>
      </w:r>
      <w:r w:rsidRPr="00CA6C0A">
        <w:rPr>
          <w:rStyle w:val="Bodytext-GuideChar"/>
          <w:rFonts w:eastAsiaTheme="minorHAnsi"/>
        </w:rPr>
        <w:t xml:space="preserve">non-TTP item. </w:t>
      </w:r>
      <w:r w:rsidR="00325407">
        <w:rPr>
          <w:rStyle w:val="Bodytext-GuideChar"/>
          <w:rFonts w:eastAsiaTheme="minorHAnsi"/>
        </w:rPr>
        <w:t>In 2020-21</w:t>
      </w:r>
      <w:r w:rsidR="00CD53B0">
        <w:rPr>
          <w:rStyle w:val="Bodytext-GuideChar"/>
          <w:rFonts w:eastAsiaTheme="minorHAnsi"/>
        </w:rPr>
        <w:t>,</w:t>
      </w:r>
      <w:r w:rsidR="00325407">
        <w:rPr>
          <w:rStyle w:val="Bodytext-GuideChar"/>
          <w:rFonts w:eastAsiaTheme="minorHAnsi"/>
        </w:rPr>
        <w:t xml:space="preserve"> the TTP additional amount is equal to 6 per cent of the DSW 1 Cost for each time of day and day of week.</w:t>
      </w:r>
    </w:p>
    <w:p w14:paraId="7CE5261F" w14:textId="77777777" w:rsidR="00890E49" w:rsidRDefault="00890E49" w:rsidP="00093FC9">
      <w:pPr>
        <w:pStyle w:val="Heading3"/>
        <w:numPr>
          <w:ilvl w:val="0"/>
          <w:numId w:val="42"/>
        </w:numPr>
        <w:ind w:left="284" w:hanging="284"/>
      </w:pPr>
      <w:bookmarkStart w:id="42" w:name="_Toc44490853"/>
      <w:bookmarkStart w:id="43" w:name="_Toc41159086"/>
      <w:bookmarkStart w:id="44" w:name="_Toc46398748"/>
      <w:r>
        <w:t>Assistance with Self Care Activities - Night-Time Sleepover Support</w:t>
      </w:r>
      <w:bookmarkEnd w:id="42"/>
      <w:bookmarkEnd w:id="43"/>
      <w:bookmarkEnd w:id="44"/>
    </w:p>
    <w:p w14:paraId="7DF47230" w14:textId="77777777" w:rsidR="00325407" w:rsidRDefault="00890E49" w:rsidP="00AE0D61">
      <w:r>
        <w:t xml:space="preserve">The </w:t>
      </w:r>
      <w:r w:rsidR="00D54BD6">
        <w:rPr>
          <w:rFonts w:ascii="Arial" w:eastAsia="Calibri" w:hAnsi="Arial" w:cs="Arial"/>
          <w:szCs w:val="24"/>
        </w:rPr>
        <w:t xml:space="preserve">2020-21 </w:t>
      </w:r>
      <w:r>
        <w:t xml:space="preserve">price limit for </w:t>
      </w:r>
      <w:r w:rsidR="00325407">
        <w:t>these</w:t>
      </w:r>
      <w:r>
        <w:t xml:space="preserve"> support item</w:t>
      </w:r>
      <w:r w:rsidR="00325407">
        <w:t>s</w:t>
      </w:r>
      <w:r>
        <w:t xml:space="preserve"> is </w:t>
      </w:r>
      <w:r w:rsidR="0080661E">
        <w:t xml:space="preserve">equal to </w:t>
      </w:r>
      <w:r w:rsidR="005A0CF6">
        <w:t xml:space="preserve">the </w:t>
      </w:r>
      <w:r w:rsidR="00D54BD6">
        <w:t xml:space="preserve">SCHADS Award </w:t>
      </w:r>
      <w:r w:rsidR="005A0CF6">
        <w:t>Sleepover Allowance</w:t>
      </w:r>
      <w:r w:rsidR="00D54BD6">
        <w:rPr>
          <w:rStyle w:val="FootnoteReference"/>
        </w:rPr>
        <w:footnoteReference w:id="24"/>
      </w:r>
      <w:r w:rsidR="005A0CF6">
        <w:t xml:space="preserve"> </w:t>
      </w:r>
      <w:r w:rsidR="00D54BD6">
        <w:t xml:space="preserve">plus </w:t>
      </w:r>
      <w:r w:rsidR="005A0CF6">
        <w:t xml:space="preserve">three times </w:t>
      </w:r>
      <w:r w:rsidR="00325407">
        <w:t>the DSW 1 Night Cost.</w:t>
      </w:r>
    </w:p>
    <w:p w14:paraId="25CD9041" w14:textId="77777777" w:rsidR="00AE0D61" w:rsidRDefault="00315545" w:rsidP="00093FC9">
      <w:pPr>
        <w:pStyle w:val="Heading3"/>
        <w:numPr>
          <w:ilvl w:val="0"/>
          <w:numId w:val="42"/>
        </w:numPr>
        <w:ind w:left="284" w:hanging="284"/>
      </w:pPr>
      <w:bookmarkStart w:id="45" w:name="_Toc46398749"/>
      <w:r>
        <w:t>Establishment Fee f</w:t>
      </w:r>
      <w:r w:rsidR="00AE0D61" w:rsidRPr="00AE0D61">
        <w:t>or Personal Care/Participation</w:t>
      </w:r>
      <w:bookmarkEnd w:id="45"/>
    </w:p>
    <w:p w14:paraId="5A23C7FB" w14:textId="77777777" w:rsidR="00315545" w:rsidRDefault="00F55A39" w:rsidP="0076217E">
      <w:pPr>
        <w:rPr>
          <w:rFonts w:ascii="Arial" w:hAnsi="Arial" w:cs="Arial"/>
        </w:rPr>
      </w:pPr>
      <w:r>
        <w:rPr>
          <w:rFonts w:ascii="Arial" w:hAnsi="Arial" w:cs="Arial"/>
        </w:rPr>
        <w:t>The</w:t>
      </w:r>
      <w:r w:rsidR="00315545">
        <w:rPr>
          <w:rFonts w:ascii="Arial" w:hAnsi="Arial" w:cs="Arial"/>
        </w:rPr>
        <w:t xml:space="preserve"> </w:t>
      </w:r>
      <w:r w:rsidR="00D54BD6">
        <w:rPr>
          <w:rFonts w:ascii="Arial" w:eastAsia="Calibri" w:hAnsi="Arial" w:cs="Arial"/>
          <w:szCs w:val="24"/>
        </w:rPr>
        <w:t xml:space="preserve">2020-21 </w:t>
      </w:r>
      <w:r w:rsidR="00315545">
        <w:rPr>
          <w:rFonts w:ascii="Arial" w:hAnsi="Arial" w:cs="Arial"/>
        </w:rPr>
        <w:t xml:space="preserve">price limit for this support </w:t>
      </w:r>
      <w:r w:rsidR="00325407">
        <w:rPr>
          <w:rFonts w:ascii="Arial" w:hAnsi="Arial" w:cs="Arial"/>
        </w:rPr>
        <w:t xml:space="preserve">item </w:t>
      </w:r>
      <w:r w:rsidR="00315545">
        <w:rPr>
          <w:rFonts w:ascii="Arial" w:hAnsi="Arial" w:cs="Arial"/>
        </w:rPr>
        <w:t>is</w:t>
      </w:r>
      <w:r>
        <w:rPr>
          <w:rFonts w:ascii="Arial" w:hAnsi="Arial" w:cs="Arial"/>
        </w:rPr>
        <w:t xml:space="preserve"> 10 times the </w:t>
      </w:r>
      <w:r w:rsidR="00996565">
        <w:rPr>
          <w:rFonts w:ascii="Arial" w:hAnsi="Arial" w:cs="Arial"/>
        </w:rPr>
        <w:t>DSW 1</w:t>
      </w:r>
      <w:r>
        <w:rPr>
          <w:rFonts w:ascii="Arial" w:hAnsi="Arial" w:cs="Arial"/>
        </w:rPr>
        <w:t xml:space="preserve"> </w:t>
      </w:r>
      <w:r w:rsidR="00325407">
        <w:rPr>
          <w:rFonts w:ascii="Arial" w:hAnsi="Arial" w:cs="Arial"/>
        </w:rPr>
        <w:t>Weekday Cost</w:t>
      </w:r>
      <w:r w:rsidR="00315545">
        <w:rPr>
          <w:rFonts w:ascii="Arial" w:hAnsi="Arial" w:cs="Arial"/>
        </w:rPr>
        <w:t>.</w:t>
      </w:r>
    </w:p>
    <w:p w14:paraId="29BBD522" w14:textId="77777777" w:rsidR="00AE0D61" w:rsidRDefault="0076217E" w:rsidP="00093FC9">
      <w:pPr>
        <w:pStyle w:val="Heading3"/>
        <w:numPr>
          <w:ilvl w:val="0"/>
          <w:numId w:val="42"/>
        </w:numPr>
        <w:ind w:left="284" w:hanging="284"/>
      </w:pPr>
      <w:bookmarkStart w:id="46" w:name="_Toc46398750"/>
      <w:r>
        <w:t>Short Term</w:t>
      </w:r>
      <w:r w:rsidR="00A73FA9">
        <w:t xml:space="preserve"> Accommodati</w:t>
      </w:r>
      <w:r>
        <w:t>on and A</w:t>
      </w:r>
      <w:r w:rsidR="00AE0D61">
        <w:t>ssistance (including</w:t>
      </w:r>
      <w:r>
        <w:t xml:space="preserve"> the </w:t>
      </w:r>
      <w:r w:rsidR="00AE0D61">
        <w:t>respite</w:t>
      </w:r>
      <w:r>
        <w:t xml:space="preserve"> care</w:t>
      </w:r>
      <w:r w:rsidR="00AE0D61">
        <w:t>)</w:t>
      </w:r>
      <w:bookmarkEnd w:id="46"/>
    </w:p>
    <w:p w14:paraId="25EC30E0" w14:textId="77777777" w:rsidR="00093FC9" w:rsidRDefault="00315545" w:rsidP="0076217E">
      <w:pPr>
        <w:rPr>
          <w:rFonts w:ascii="Arial" w:eastAsia="Calibri" w:hAnsi="Arial" w:cs="Arial"/>
          <w:szCs w:val="24"/>
        </w:rPr>
      </w:pPr>
      <w:r>
        <w:rPr>
          <w:rFonts w:ascii="Arial" w:eastAsia="Calibri" w:hAnsi="Arial" w:cs="Arial"/>
          <w:szCs w:val="24"/>
        </w:rPr>
        <w:t xml:space="preserve">The </w:t>
      </w:r>
      <w:r w:rsidR="00D54BD6">
        <w:rPr>
          <w:rFonts w:ascii="Arial" w:eastAsia="Calibri" w:hAnsi="Arial" w:cs="Arial"/>
          <w:szCs w:val="24"/>
        </w:rPr>
        <w:t xml:space="preserve">2020-21 </w:t>
      </w:r>
      <w:r>
        <w:rPr>
          <w:rFonts w:ascii="Arial" w:eastAsia="Calibri" w:hAnsi="Arial" w:cs="Arial"/>
          <w:szCs w:val="24"/>
        </w:rPr>
        <w:t xml:space="preserve">price limits for </w:t>
      </w:r>
      <w:r w:rsidR="00D54BD6">
        <w:rPr>
          <w:rFonts w:ascii="Arial" w:eastAsia="Calibri" w:hAnsi="Arial" w:cs="Arial"/>
          <w:szCs w:val="24"/>
        </w:rPr>
        <w:t>each 1</w:t>
      </w:r>
      <w:proofErr w:type="gramStart"/>
      <w:r w:rsidR="00D54BD6">
        <w:rPr>
          <w:rFonts w:ascii="Arial" w:eastAsia="Calibri" w:hAnsi="Arial" w:cs="Arial"/>
          <w:szCs w:val="24"/>
        </w:rPr>
        <w:t>:n</w:t>
      </w:r>
      <w:proofErr w:type="gramEnd"/>
      <w:r>
        <w:rPr>
          <w:rFonts w:ascii="Arial" w:eastAsia="Calibri" w:hAnsi="Arial" w:cs="Arial"/>
          <w:szCs w:val="24"/>
        </w:rPr>
        <w:t xml:space="preserve"> </w:t>
      </w:r>
      <w:r w:rsidR="00D54BD6">
        <w:rPr>
          <w:rFonts w:ascii="Arial" w:eastAsia="Calibri" w:hAnsi="Arial" w:cs="Arial"/>
          <w:szCs w:val="24"/>
        </w:rPr>
        <w:t>weekday support item is the sum of</w:t>
      </w:r>
    </w:p>
    <w:p w14:paraId="711BCBB4" w14:textId="77777777" w:rsidR="0076217E" w:rsidRPr="00093FC9" w:rsidRDefault="00315545" w:rsidP="00093FC9">
      <w:pPr>
        <w:pStyle w:val="DotPoint"/>
      </w:pPr>
      <w:r>
        <w:t xml:space="preserve"> </w:t>
      </w:r>
      <w:r w:rsidR="00093FC9" w:rsidRPr="005A0CF6">
        <w:rPr>
          <w:rFonts w:ascii="Arial" w:hAnsi="Arial" w:cs="Arial"/>
        </w:rPr>
        <w:t>$181.41</w:t>
      </w:r>
      <w:r w:rsidR="00093FC9">
        <w:rPr>
          <w:rFonts w:ascii="Arial" w:hAnsi="Arial" w:cs="Arial"/>
        </w:rPr>
        <w:t xml:space="preserve"> for the non-labour costs of food and accommodation;</w:t>
      </w:r>
    </w:p>
    <w:p w14:paraId="5262996C" w14:textId="77777777" w:rsidR="00093FC9" w:rsidRDefault="00D54BD6" w:rsidP="00093FC9">
      <w:pPr>
        <w:pStyle w:val="DotPoint"/>
      </w:pPr>
      <w:r>
        <w:t xml:space="preserve">1/n times </w:t>
      </w:r>
      <w:r w:rsidR="00093FC9">
        <w:t>8 times the DSW 2 Daytime Cost;</w:t>
      </w:r>
    </w:p>
    <w:p w14:paraId="2BA4A6C4" w14:textId="77777777" w:rsidR="00093FC9" w:rsidRDefault="00D54BD6" w:rsidP="00093FC9">
      <w:pPr>
        <w:pStyle w:val="DotPoint"/>
      </w:pPr>
      <w:r>
        <w:t xml:space="preserve">1/n times </w:t>
      </w:r>
      <w:r w:rsidR="00093FC9">
        <w:t>8 times the DSW 2 Weekday Evening Cost;</w:t>
      </w:r>
    </w:p>
    <w:p w14:paraId="669E8192" w14:textId="77777777" w:rsidR="00093FC9" w:rsidRPr="00CA6C0A" w:rsidRDefault="00D54BD6" w:rsidP="00093FC9">
      <w:pPr>
        <w:pStyle w:val="DotPoint"/>
      </w:pPr>
      <w:r>
        <w:t xml:space="preserve">1/n times </w:t>
      </w:r>
      <w:r w:rsidR="00093FC9">
        <w:t>8 times</w:t>
      </w:r>
      <w:r w:rsidR="00093FC9" w:rsidRPr="00093FC9">
        <w:t xml:space="preserve"> </w:t>
      </w:r>
      <w:r w:rsidR="00093FC9">
        <w:t>the DSW 2 Weekday Night Cost.</w:t>
      </w:r>
    </w:p>
    <w:p w14:paraId="69DDAC1B" w14:textId="77777777" w:rsidR="00D54BD6" w:rsidRDefault="00D54BD6" w:rsidP="00D54BD6">
      <w:pPr>
        <w:rPr>
          <w:rFonts w:ascii="Arial" w:eastAsia="Calibri" w:hAnsi="Arial" w:cs="Arial"/>
          <w:szCs w:val="24"/>
        </w:rPr>
      </w:pPr>
      <w:r>
        <w:rPr>
          <w:rFonts w:ascii="Arial" w:eastAsia="Calibri" w:hAnsi="Arial" w:cs="Arial"/>
          <w:szCs w:val="24"/>
        </w:rPr>
        <w:t>The 2020-21 price limits for each 1</w:t>
      </w:r>
      <w:proofErr w:type="gramStart"/>
      <w:r>
        <w:rPr>
          <w:rFonts w:ascii="Arial" w:eastAsia="Calibri" w:hAnsi="Arial" w:cs="Arial"/>
          <w:szCs w:val="24"/>
        </w:rPr>
        <w:t>:n</w:t>
      </w:r>
      <w:proofErr w:type="gramEnd"/>
      <w:r>
        <w:rPr>
          <w:rFonts w:ascii="Arial" w:eastAsia="Calibri" w:hAnsi="Arial" w:cs="Arial"/>
          <w:szCs w:val="24"/>
        </w:rPr>
        <w:t xml:space="preserve"> Saturday support item is the sum of</w:t>
      </w:r>
    </w:p>
    <w:p w14:paraId="7820817D" w14:textId="77777777" w:rsidR="00D54BD6" w:rsidRPr="00D54BD6" w:rsidRDefault="00D54BD6" w:rsidP="00D54BD6">
      <w:pPr>
        <w:pStyle w:val="DotPoint"/>
      </w:pPr>
      <w:r>
        <w:t xml:space="preserve"> </w:t>
      </w:r>
      <w:r w:rsidRPr="005A0CF6">
        <w:rPr>
          <w:rFonts w:ascii="Arial" w:hAnsi="Arial" w:cs="Arial"/>
        </w:rPr>
        <w:t>$181.41</w:t>
      </w:r>
      <w:r>
        <w:rPr>
          <w:rFonts w:ascii="Arial" w:hAnsi="Arial" w:cs="Arial"/>
        </w:rPr>
        <w:t xml:space="preserve"> for the non-labour costs of food and accommodation;</w:t>
      </w:r>
    </w:p>
    <w:p w14:paraId="12149804" w14:textId="77777777" w:rsidR="00D54BD6" w:rsidRDefault="00D54BD6" w:rsidP="00D54BD6">
      <w:pPr>
        <w:pStyle w:val="DotPoint"/>
      </w:pPr>
      <w:r>
        <w:t>1/n times 24 times the DSW 2 Saturday Cost.</w:t>
      </w:r>
    </w:p>
    <w:p w14:paraId="3B1891D1" w14:textId="77777777" w:rsidR="00D54BD6" w:rsidRDefault="00D54BD6" w:rsidP="00D54BD6">
      <w:pPr>
        <w:rPr>
          <w:rFonts w:ascii="Arial" w:eastAsia="Calibri" w:hAnsi="Arial" w:cs="Arial"/>
          <w:szCs w:val="24"/>
        </w:rPr>
      </w:pPr>
      <w:r>
        <w:rPr>
          <w:rFonts w:ascii="Arial" w:eastAsia="Calibri" w:hAnsi="Arial" w:cs="Arial"/>
          <w:szCs w:val="24"/>
        </w:rPr>
        <w:t>The 2020-21 price limits for each 1</w:t>
      </w:r>
      <w:proofErr w:type="gramStart"/>
      <w:r>
        <w:rPr>
          <w:rFonts w:ascii="Arial" w:eastAsia="Calibri" w:hAnsi="Arial" w:cs="Arial"/>
          <w:szCs w:val="24"/>
        </w:rPr>
        <w:t>:n</w:t>
      </w:r>
      <w:proofErr w:type="gramEnd"/>
      <w:r>
        <w:rPr>
          <w:rFonts w:ascii="Arial" w:eastAsia="Calibri" w:hAnsi="Arial" w:cs="Arial"/>
          <w:szCs w:val="24"/>
        </w:rPr>
        <w:t xml:space="preserve"> Sunday support item is the sum of</w:t>
      </w:r>
    </w:p>
    <w:p w14:paraId="389ED9E4" w14:textId="77777777" w:rsidR="00D54BD6" w:rsidRPr="00D54BD6" w:rsidRDefault="00D54BD6" w:rsidP="00D54BD6">
      <w:pPr>
        <w:pStyle w:val="DotPoint"/>
      </w:pPr>
      <w:r>
        <w:t xml:space="preserve"> </w:t>
      </w:r>
      <w:r w:rsidRPr="005A0CF6">
        <w:rPr>
          <w:rFonts w:ascii="Arial" w:hAnsi="Arial" w:cs="Arial"/>
        </w:rPr>
        <w:t>$181.41</w:t>
      </w:r>
      <w:r>
        <w:rPr>
          <w:rFonts w:ascii="Arial" w:hAnsi="Arial" w:cs="Arial"/>
        </w:rPr>
        <w:t xml:space="preserve"> for the non-labour costs of food and accommodation;</w:t>
      </w:r>
    </w:p>
    <w:p w14:paraId="4119C6EF" w14:textId="77777777" w:rsidR="00D54BD6" w:rsidRDefault="00D54BD6" w:rsidP="00D54BD6">
      <w:pPr>
        <w:pStyle w:val="DotPoint"/>
      </w:pPr>
      <w:r>
        <w:t>1/n times 24 times the DSW 2 Sunday Cost.</w:t>
      </w:r>
    </w:p>
    <w:p w14:paraId="14F1A721" w14:textId="77777777" w:rsidR="00D54BD6" w:rsidRDefault="00D54BD6" w:rsidP="00D54BD6">
      <w:pPr>
        <w:rPr>
          <w:rFonts w:ascii="Arial" w:eastAsia="Calibri" w:hAnsi="Arial" w:cs="Arial"/>
          <w:szCs w:val="24"/>
        </w:rPr>
      </w:pPr>
      <w:r>
        <w:rPr>
          <w:rFonts w:ascii="Arial" w:eastAsia="Calibri" w:hAnsi="Arial" w:cs="Arial"/>
          <w:szCs w:val="24"/>
        </w:rPr>
        <w:t>The 2020-21 price limits for each 1</w:t>
      </w:r>
      <w:proofErr w:type="gramStart"/>
      <w:r>
        <w:rPr>
          <w:rFonts w:ascii="Arial" w:eastAsia="Calibri" w:hAnsi="Arial" w:cs="Arial"/>
          <w:szCs w:val="24"/>
        </w:rPr>
        <w:t>:n</w:t>
      </w:r>
      <w:proofErr w:type="gramEnd"/>
      <w:r>
        <w:rPr>
          <w:rFonts w:ascii="Arial" w:eastAsia="Calibri" w:hAnsi="Arial" w:cs="Arial"/>
          <w:szCs w:val="24"/>
        </w:rPr>
        <w:t xml:space="preserve"> Public Holiday support item is the sum of</w:t>
      </w:r>
    </w:p>
    <w:p w14:paraId="15A54A79" w14:textId="77777777" w:rsidR="00D54BD6" w:rsidRPr="00D54BD6" w:rsidRDefault="00D54BD6" w:rsidP="00D54BD6">
      <w:pPr>
        <w:pStyle w:val="DotPoint"/>
      </w:pPr>
      <w:r>
        <w:t xml:space="preserve"> </w:t>
      </w:r>
      <w:r w:rsidRPr="005A0CF6">
        <w:rPr>
          <w:rFonts w:ascii="Arial" w:hAnsi="Arial" w:cs="Arial"/>
        </w:rPr>
        <w:t>$181.41</w:t>
      </w:r>
      <w:r>
        <w:rPr>
          <w:rFonts w:ascii="Arial" w:hAnsi="Arial" w:cs="Arial"/>
        </w:rPr>
        <w:t xml:space="preserve"> for the non-labour costs of food and accommodation;</w:t>
      </w:r>
    </w:p>
    <w:p w14:paraId="0126C141" w14:textId="77777777" w:rsidR="00D54BD6" w:rsidRDefault="00D54BD6" w:rsidP="00D54BD6">
      <w:pPr>
        <w:pStyle w:val="DotPoint"/>
      </w:pPr>
      <w:r>
        <w:t>1/n times 24 times the DSW 2 Public Holiday Cost.</w:t>
      </w:r>
    </w:p>
    <w:p w14:paraId="46D07E0E" w14:textId="77777777" w:rsidR="00AE0D61" w:rsidRDefault="00AE0D61" w:rsidP="00093FC9">
      <w:pPr>
        <w:pStyle w:val="Heading3"/>
        <w:numPr>
          <w:ilvl w:val="0"/>
          <w:numId w:val="42"/>
        </w:numPr>
        <w:ind w:left="284" w:hanging="284"/>
      </w:pPr>
      <w:bookmarkStart w:id="47" w:name="_Toc46398751"/>
      <w:r>
        <w:t>Group Activities</w:t>
      </w:r>
      <w:r w:rsidR="00093FC9">
        <w:t xml:space="preserve"> (Transitional Arrangement)</w:t>
      </w:r>
      <w:bookmarkEnd w:id="47"/>
    </w:p>
    <w:p w14:paraId="4780B5B4" w14:textId="77777777" w:rsidR="00093FC9" w:rsidRPr="00B67AC3" w:rsidRDefault="00093FC9" w:rsidP="00093FC9">
      <w:r w:rsidRPr="00B67AC3">
        <w:t>The price limit for community-based group supports apply to each hour of support and are based on the price limit of the relevant 1:1 community participation support (for each level of support and</w:t>
      </w:r>
      <w:r w:rsidR="00D54BD6">
        <w:t xml:space="preserve"> time of day and day of week). If t</w:t>
      </w:r>
      <w:r w:rsidRPr="00B67AC3">
        <w:t xml:space="preserve">he price limit for the relevant 1:1 support is P then the price limit </w:t>
      </w:r>
      <w:proofErr w:type="spellStart"/>
      <w:r w:rsidRPr="00B67AC3">
        <w:t>P</w:t>
      </w:r>
      <w:r w:rsidRPr="00B67AC3">
        <w:rPr>
          <w:vertAlign w:val="subscript"/>
        </w:rPr>
        <w:t>n</w:t>
      </w:r>
      <w:proofErr w:type="spellEnd"/>
      <w:r w:rsidRPr="00B67AC3">
        <w:t xml:space="preserve"> for the 1:n community based support is given by the following formulae:</w:t>
      </w:r>
    </w:p>
    <w:p w14:paraId="2FC79ECC" w14:textId="77777777" w:rsidR="00093FC9" w:rsidRPr="00B67AC3" w:rsidRDefault="003777EA" w:rsidP="00093FC9">
      <w:pPr>
        <w:jc w:val="center"/>
      </w:pPr>
      <m:oMathPara>
        <m:oMath>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P+</m:t>
              </m:r>
              <m:d>
                <m:dPr>
                  <m:ctrlPr>
                    <w:rPr>
                      <w:rFonts w:ascii="Cambria Math" w:hAnsi="Cambria Math"/>
                      <w:i/>
                    </w:rPr>
                  </m:ctrlPr>
                </m:dPr>
                <m:e>
                  <m:r>
                    <w:rPr>
                      <w:rFonts w:ascii="Cambria Math" w:hAnsi="Cambria Math"/>
                    </w:rPr>
                    <m:t>n-1</m:t>
                  </m:r>
                </m:e>
              </m:d>
              <m:r>
                <w:rPr>
                  <w:rFonts w:ascii="Cambria Math" w:hAnsi="Cambria Math"/>
                </w:rPr>
                <m:t>×0.12×P</m:t>
              </m:r>
            </m:num>
            <m:den>
              <m:r>
                <w:rPr>
                  <w:rFonts w:ascii="Cambria Math" w:hAnsi="Cambria Math"/>
                </w:rPr>
                <m:t>n</m:t>
              </m:r>
            </m:den>
          </m:f>
        </m:oMath>
      </m:oMathPara>
    </w:p>
    <w:p w14:paraId="1823BAE0" w14:textId="77777777" w:rsidR="00093FC9" w:rsidRPr="00B67AC3" w:rsidRDefault="00093FC9" w:rsidP="00093FC9">
      <w:r w:rsidRPr="00B67AC3">
        <w:t xml:space="preserve">For each additional person in the group (after the first) an additional 12% of the 1:1 price limit (essentially seven minutes) is added to the hourly </w:t>
      </w:r>
      <w:r w:rsidR="00D54BD6">
        <w:t>price limit.</w:t>
      </w:r>
    </w:p>
    <w:p w14:paraId="2DC4D0C8" w14:textId="77777777" w:rsidR="00093FC9" w:rsidRPr="00B67AC3" w:rsidRDefault="00093FC9" w:rsidP="00093FC9">
      <w:r w:rsidRPr="00B67AC3">
        <w:t>The price limit for centre-based group supports are calculated by adding a fixed capital allowance amount to the relevant community</w:t>
      </w:r>
      <w:r>
        <w:t xml:space="preserve"> based group support. In 2020-21</w:t>
      </w:r>
      <w:r w:rsidRPr="00B67AC3">
        <w:t>, the amount of the f</w:t>
      </w:r>
      <w:r>
        <w:t xml:space="preserve">ixed capital allowance </w:t>
      </w:r>
      <w:r w:rsidR="00D54BD6">
        <w:t>is</w:t>
      </w:r>
      <w:r>
        <w:t xml:space="preserve"> $2.15 per participant per hour.</w:t>
      </w:r>
    </w:p>
    <w:p w14:paraId="728A6557" w14:textId="77777777" w:rsidR="00093FC9" w:rsidRPr="00093FC9" w:rsidRDefault="00093FC9" w:rsidP="00093FC9"/>
    <w:p w14:paraId="425EAEE5" w14:textId="77777777" w:rsidR="0060269A" w:rsidRDefault="0060269A" w:rsidP="007230A7"/>
    <w:p w14:paraId="45685D6F" w14:textId="77777777" w:rsidR="00101B5E" w:rsidRDefault="00101B5E" w:rsidP="007230A7"/>
    <w:p w14:paraId="4FD547C9" w14:textId="77777777" w:rsidR="00101B5E" w:rsidRDefault="00101B5E" w:rsidP="007230A7"/>
    <w:p w14:paraId="442FC967" w14:textId="77777777" w:rsidR="00101B5E" w:rsidRDefault="00101B5E" w:rsidP="007230A7"/>
    <w:p w14:paraId="784E5705" w14:textId="77777777" w:rsidR="00101B5E" w:rsidRDefault="00101B5E" w:rsidP="007230A7"/>
    <w:p w14:paraId="706D5C84" w14:textId="77777777" w:rsidR="00101B5E" w:rsidRDefault="00101B5E" w:rsidP="007230A7"/>
    <w:p w14:paraId="2E831DFA" w14:textId="77777777" w:rsidR="00101B5E" w:rsidRDefault="00101B5E" w:rsidP="007230A7"/>
    <w:p w14:paraId="7721DA8E" w14:textId="77777777" w:rsidR="00101B5E" w:rsidRDefault="00101B5E" w:rsidP="007230A7"/>
    <w:p w14:paraId="68CA7883" w14:textId="77777777" w:rsidR="00101B5E" w:rsidRDefault="00101B5E" w:rsidP="007230A7"/>
    <w:p w14:paraId="1E1C179A" w14:textId="77777777" w:rsidR="00DC0A5C" w:rsidRDefault="00DC0A5C" w:rsidP="006005A2">
      <w:pPr>
        <w:pStyle w:val="Heading1"/>
        <w:sectPr w:rsidR="00DC0A5C" w:rsidSect="00DC0A5C">
          <w:pgSz w:w="11906" w:h="16838" w:code="9"/>
          <w:pgMar w:top="1440" w:right="1440" w:bottom="1440" w:left="1440" w:header="709" w:footer="709" w:gutter="0"/>
          <w:cols w:space="708"/>
          <w:titlePg/>
          <w:docGrid w:linePitch="360"/>
        </w:sectPr>
      </w:pPr>
      <w:bookmarkStart w:id="48" w:name="_Toc46398752"/>
    </w:p>
    <w:p w14:paraId="3A7E2E67" w14:textId="3EE2CE96" w:rsidR="0097268F" w:rsidRDefault="00101B5E" w:rsidP="006005A2">
      <w:pPr>
        <w:pStyle w:val="Heading1"/>
      </w:pPr>
      <w:r w:rsidRPr="00101B5E">
        <w:t>Appendix 1</w:t>
      </w:r>
      <w:r>
        <w:t xml:space="preserve"> </w:t>
      </w:r>
      <w:r w:rsidR="0097268F">
        <w:t>–</w:t>
      </w:r>
      <w:r>
        <w:t xml:space="preserve"> Footnotes</w:t>
      </w:r>
      <w:bookmarkEnd w:id="48"/>
    </w:p>
    <w:p w14:paraId="15C70614" w14:textId="77777777" w:rsidR="0097268F" w:rsidRPr="0097268F" w:rsidRDefault="0097268F" w:rsidP="0097268F">
      <w:pPr>
        <w:rPr>
          <w:rStyle w:val="Hyperlink"/>
          <w:b/>
          <w:color w:val="6B2976" w:themeColor="accent4"/>
          <w:sz w:val="26"/>
          <w:szCs w:val="26"/>
          <w:u w:val="none"/>
        </w:rPr>
      </w:pPr>
      <w:bookmarkStart w:id="49" w:name="_GoBack"/>
      <w:bookmarkEnd w:id="49"/>
      <w:r>
        <w:t xml:space="preserve">1. </w:t>
      </w:r>
      <w:hyperlink r:id="rId20" w:history="1">
        <w:r w:rsidRPr="00E419AE">
          <w:rPr>
            <w:rStyle w:val="Hyperlink"/>
          </w:rPr>
          <w:t>https://www.ndis.gov.au/media/1662/download</w:t>
        </w:r>
      </w:hyperlink>
    </w:p>
    <w:p w14:paraId="0F40ECE2" w14:textId="77777777" w:rsidR="0097268F" w:rsidRPr="00111D09" w:rsidRDefault="0097268F" w:rsidP="0097268F">
      <w:pPr>
        <w:pStyle w:val="FootnoteText"/>
        <w:rPr>
          <w:sz w:val="22"/>
          <w:szCs w:val="22"/>
        </w:rPr>
      </w:pPr>
      <w:r w:rsidRPr="0097268F">
        <w:rPr>
          <w:sz w:val="22"/>
          <w:szCs w:val="22"/>
        </w:rPr>
        <w:t xml:space="preserve">2. </w:t>
      </w:r>
      <w:r w:rsidRPr="00111D09">
        <w:rPr>
          <w:sz w:val="22"/>
          <w:szCs w:val="22"/>
        </w:rPr>
        <w:t>The NDIA considers that it is appropriate to estimate the cost structure of overall efficient (25th percentile) providers by reference to the 25th percentile of all providers’ performance against each of the key parameters because there is little collinearity observed between the parameters in the TTP Benchmarking Survey results. The determinant of the Pearson product-moment correlation coefficient matrix (see below) is 87.1%.</w:t>
      </w:r>
    </w:p>
    <w:tbl>
      <w:tblPr>
        <w:tblStyle w:val="GridTable4-Accent4"/>
        <w:tblW w:w="4170" w:type="pct"/>
        <w:jc w:val="center"/>
        <w:tblLook w:val="0420" w:firstRow="1" w:lastRow="0" w:firstColumn="0" w:lastColumn="0" w:noHBand="0" w:noVBand="1"/>
        <w:tblDescription w:val="Appropriate Estimate of Cost Structure"/>
      </w:tblPr>
      <w:tblGrid>
        <w:gridCol w:w="1080"/>
        <w:gridCol w:w="1080"/>
        <w:gridCol w:w="1132"/>
        <w:gridCol w:w="1080"/>
        <w:gridCol w:w="1328"/>
        <w:gridCol w:w="1080"/>
        <w:gridCol w:w="1080"/>
      </w:tblGrid>
      <w:tr w:rsidR="0097268F" w14:paraId="2B030FAC" w14:textId="77777777" w:rsidTr="001E79CB">
        <w:trPr>
          <w:cnfStyle w:val="100000000000" w:firstRow="1" w:lastRow="0" w:firstColumn="0" w:lastColumn="0" w:oddVBand="0" w:evenVBand="0" w:oddHBand="0" w:evenHBand="0" w:firstRowFirstColumn="0" w:firstRowLastColumn="0" w:lastRowFirstColumn="0" w:lastRowLastColumn="0"/>
          <w:trHeight w:val="225"/>
          <w:tblHeader/>
          <w:jc w:val="center"/>
        </w:trPr>
        <w:tc>
          <w:tcPr>
            <w:tcW w:w="1080" w:type="dxa"/>
            <w:noWrap/>
            <w:hideMark/>
          </w:tcPr>
          <w:p w14:paraId="48CC55BF" w14:textId="77777777" w:rsidR="0097268F" w:rsidRDefault="0097268F" w:rsidP="001E79CB"/>
        </w:tc>
        <w:tc>
          <w:tcPr>
            <w:tcW w:w="1080" w:type="dxa"/>
            <w:hideMark/>
          </w:tcPr>
          <w:p w14:paraId="62024A57" w14:textId="77777777" w:rsidR="0097268F" w:rsidRDefault="0097268F" w:rsidP="001E79CB">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A =</w:t>
            </w:r>
            <w:r>
              <w:rPr>
                <w:rFonts w:eastAsia="Times New Roman" w:cstheme="minorHAnsi"/>
                <w:color w:val="FFFFFF"/>
                <w:sz w:val="16"/>
                <w:szCs w:val="16"/>
                <w:lang w:val="en-US" w:eastAsia="en-AU"/>
              </w:rPr>
              <w:br/>
              <w:t>Permanent Share of Workforce</w:t>
            </w:r>
          </w:p>
        </w:tc>
        <w:tc>
          <w:tcPr>
            <w:tcW w:w="1080" w:type="dxa"/>
            <w:hideMark/>
          </w:tcPr>
          <w:p w14:paraId="0CEAD02A" w14:textId="77777777" w:rsidR="0097268F" w:rsidRDefault="0097268F" w:rsidP="001E79CB">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B =</w:t>
            </w:r>
          </w:p>
          <w:p w14:paraId="27408598" w14:textId="77777777" w:rsidR="0097268F" w:rsidRDefault="0097268F" w:rsidP="001E79CB">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Supervision Ratio</w:t>
            </w:r>
          </w:p>
        </w:tc>
        <w:tc>
          <w:tcPr>
            <w:tcW w:w="1080" w:type="dxa"/>
            <w:hideMark/>
          </w:tcPr>
          <w:p w14:paraId="7151E3BE" w14:textId="77777777" w:rsidR="0097268F" w:rsidRDefault="0097268F" w:rsidP="001E79CB">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C =</w:t>
            </w:r>
            <w:r>
              <w:rPr>
                <w:rFonts w:eastAsia="Times New Roman" w:cstheme="minorHAnsi"/>
                <w:color w:val="FFFFFF"/>
                <w:sz w:val="16"/>
                <w:szCs w:val="16"/>
                <w:lang w:val="en-US" w:eastAsia="en-AU"/>
              </w:rPr>
              <w:br/>
              <w:t>Non travel allowances</w:t>
            </w:r>
          </w:p>
        </w:tc>
        <w:tc>
          <w:tcPr>
            <w:tcW w:w="1080" w:type="dxa"/>
            <w:hideMark/>
          </w:tcPr>
          <w:p w14:paraId="6D9AF3D2" w14:textId="77777777" w:rsidR="0097268F" w:rsidRDefault="0097268F" w:rsidP="001E79CB">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D =</w:t>
            </w:r>
            <w:r>
              <w:rPr>
                <w:rFonts w:eastAsia="Times New Roman" w:cstheme="minorHAnsi"/>
                <w:color w:val="FFFFFF"/>
                <w:sz w:val="16"/>
                <w:szCs w:val="16"/>
                <w:lang w:val="en-US" w:eastAsia="en-AU"/>
              </w:rPr>
              <w:br/>
              <w:t>Workers Compensation Premium</w:t>
            </w:r>
          </w:p>
        </w:tc>
        <w:tc>
          <w:tcPr>
            <w:tcW w:w="1080" w:type="dxa"/>
            <w:hideMark/>
          </w:tcPr>
          <w:p w14:paraId="6C88AC9B" w14:textId="77777777" w:rsidR="0097268F" w:rsidRDefault="0097268F" w:rsidP="001E79CB">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E =</w:t>
            </w:r>
          </w:p>
          <w:p w14:paraId="5252B71C" w14:textId="77777777" w:rsidR="0097268F" w:rsidRDefault="0097268F" w:rsidP="001E79CB">
            <w:pPr>
              <w:spacing w:before="0"/>
              <w:jc w:val="center"/>
              <w:rPr>
                <w:rFonts w:eastAsia="Times New Roman" w:cstheme="minorHAnsi"/>
                <w:color w:val="FFFFFF"/>
                <w:sz w:val="16"/>
                <w:szCs w:val="16"/>
                <w:lang w:val="en-US" w:eastAsia="en-AU"/>
              </w:rPr>
            </w:pPr>
            <w:proofErr w:type="spellStart"/>
            <w:r>
              <w:rPr>
                <w:rFonts w:eastAsia="Times New Roman" w:cstheme="minorHAnsi"/>
                <w:color w:val="FFFFFF"/>
                <w:sz w:val="16"/>
                <w:szCs w:val="16"/>
                <w:lang w:val="en-US" w:eastAsia="en-AU"/>
              </w:rPr>
              <w:t>Utilisation</w:t>
            </w:r>
            <w:proofErr w:type="spellEnd"/>
            <w:r>
              <w:rPr>
                <w:rFonts w:eastAsia="Times New Roman" w:cstheme="minorHAnsi"/>
                <w:color w:val="FFFFFF"/>
                <w:sz w:val="16"/>
                <w:szCs w:val="16"/>
                <w:lang w:val="en-US" w:eastAsia="en-AU"/>
              </w:rPr>
              <w:t xml:space="preserve"> percentage</w:t>
            </w:r>
          </w:p>
        </w:tc>
        <w:tc>
          <w:tcPr>
            <w:tcW w:w="1080" w:type="dxa"/>
            <w:hideMark/>
          </w:tcPr>
          <w:p w14:paraId="4A47904D" w14:textId="77777777" w:rsidR="0097268F" w:rsidRDefault="0097268F" w:rsidP="001E79CB">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F =</w:t>
            </w:r>
          </w:p>
          <w:p w14:paraId="3677BFBA" w14:textId="77777777" w:rsidR="0097268F" w:rsidRDefault="0097268F" w:rsidP="001E79CB">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Overheads percentage</w:t>
            </w:r>
          </w:p>
        </w:tc>
      </w:tr>
      <w:tr w:rsidR="0097268F" w14:paraId="120A4F92" w14:textId="77777777" w:rsidTr="001E79CB">
        <w:trPr>
          <w:cnfStyle w:val="000000100000" w:firstRow="0" w:lastRow="0" w:firstColumn="0" w:lastColumn="0" w:oddVBand="0" w:evenVBand="0" w:oddHBand="1" w:evenHBand="0" w:firstRowFirstColumn="0" w:firstRowLastColumn="0" w:lastRowFirstColumn="0" w:lastRowLastColumn="0"/>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2F7D0FCE" w14:textId="77777777" w:rsidR="0097268F" w:rsidRDefault="0097268F" w:rsidP="001E79CB">
            <w:pPr>
              <w:spacing w:before="0"/>
              <w:rPr>
                <w:rFonts w:eastAsia="Times New Roman" w:cstheme="minorHAnsi"/>
                <w:sz w:val="16"/>
                <w:szCs w:val="16"/>
                <w:lang w:val="en-US" w:eastAsia="en-AU"/>
              </w:rPr>
            </w:pPr>
            <w:r>
              <w:rPr>
                <w:rFonts w:eastAsia="Times New Roman" w:cstheme="minorHAnsi"/>
                <w:sz w:val="16"/>
                <w:szCs w:val="16"/>
                <w:lang w:val="en-US" w:eastAsia="en-AU"/>
              </w:rPr>
              <w:t>A</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BD40EE6" w14:textId="77777777" w:rsidR="0097268F" w:rsidRDefault="0097268F" w:rsidP="001E79CB">
            <w:pPr>
              <w:spacing w:before="0"/>
              <w:jc w:val="center"/>
              <w:rPr>
                <w:rFonts w:eastAsia="Times New Roman" w:cstheme="minorHAnsi"/>
                <w:sz w:val="16"/>
                <w:szCs w:val="16"/>
                <w:lang w:val="en-US" w:eastAsia="en-AU"/>
              </w:rPr>
            </w:pPr>
            <w:r>
              <w:rPr>
                <w:rFonts w:eastAsia="Times New Roman" w:cstheme="minorHAnsi"/>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414C8F2E"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311DBAD8"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-0.13</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C95AFDB"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0.06</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75885805"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AA5B480"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0.08</w:t>
            </w:r>
          </w:p>
        </w:tc>
      </w:tr>
      <w:tr w:rsidR="0097268F" w14:paraId="1675708F" w14:textId="77777777" w:rsidTr="001E79CB">
        <w:trPr>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309B48F1" w14:textId="77777777" w:rsidR="0097268F" w:rsidRDefault="0097268F" w:rsidP="001E79CB">
            <w:pPr>
              <w:spacing w:before="0"/>
              <w:rPr>
                <w:rFonts w:eastAsia="Times New Roman" w:cstheme="minorHAnsi"/>
                <w:sz w:val="16"/>
                <w:szCs w:val="16"/>
                <w:lang w:val="en-US" w:eastAsia="en-AU"/>
              </w:rPr>
            </w:pPr>
            <w:r>
              <w:rPr>
                <w:rFonts w:eastAsia="Times New Roman" w:cstheme="minorHAnsi"/>
                <w:sz w:val="16"/>
                <w:szCs w:val="16"/>
                <w:lang w:val="en-US" w:eastAsia="en-AU"/>
              </w:rPr>
              <w:t>B</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04A022B" w14:textId="77777777" w:rsidR="0097268F" w:rsidRDefault="0097268F" w:rsidP="001E79CB">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-0.09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42420370"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798AB507"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-0.07</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94FC979"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4F11194"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F3C46D1"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0.08</w:t>
            </w:r>
          </w:p>
        </w:tc>
      </w:tr>
      <w:tr w:rsidR="0097268F" w14:paraId="31DA22E7" w14:textId="77777777" w:rsidTr="001E79CB">
        <w:trPr>
          <w:cnfStyle w:val="000000100000" w:firstRow="0" w:lastRow="0" w:firstColumn="0" w:lastColumn="0" w:oddVBand="0" w:evenVBand="0" w:oddHBand="1" w:evenHBand="0" w:firstRowFirstColumn="0" w:firstRowLastColumn="0" w:lastRowFirstColumn="0" w:lastRowLastColumn="0"/>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326BCD01" w14:textId="77777777" w:rsidR="0097268F" w:rsidRDefault="0097268F" w:rsidP="001E79CB">
            <w:pPr>
              <w:spacing w:before="0"/>
              <w:rPr>
                <w:rFonts w:eastAsia="Times New Roman" w:cstheme="minorHAnsi"/>
                <w:sz w:val="16"/>
                <w:szCs w:val="16"/>
                <w:lang w:val="en-US" w:eastAsia="en-AU"/>
              </w:rPr>
            </w:pPr>
            <w:r>
              <w:rPr>
                <w:rFonts w:eastAsia="Times New Roman" w:cstheme="minorHAnsi"/>
                <w:sz w:val="16"/>
                <w:szCs w:val="16"/>
                <w:lang w:val="en-US" w:eastAsia="en-AU"/>
              </w:rPr>
              <w:t>C</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CA47BE6" w14:textId="77777777" w:rsidR="0097268F" w:rsidRDefault="0097268F" w:rsidP="001E79CB">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-0.13</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7D320CE7"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-0.07</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425FEEB"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40B140BB"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B0D2B16"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733ACD12"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-0.18</w:t>
            </w:r>
          </w:p>
        </w:tc>
      </w:tr>
      <w:tr w:rsidR="0097268F" w14:paraId="247457C6" w14:textId="77777777" w:rsidTr="001E79CB">
        <w:trPr>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1879B909" w14:textId="77777777" w:rsidR="0097268F" w:rsidRDefault="0097268F" w:rsidP="001E79CB">
            <w:pPr>
              <w:spacing w:before="0"/>
              <w:rPr>
                <w:rFonts w:eastAsia="Times New Roman" w:cstheme="minorHAnsi"/>
                <w:sz w:val="16"/>
                <w:szCs w:val="16"/>
                <w:lang w:val="en-US" w:eastAsia="en-AU"/>
              </w:rPr>
            </w:pPr>
            <w:r>
              <w:rPr>
                <w:rFonts w:eastAsia="Times New Roman" w:cstheme="minorHAnsi"/>
                <w:sz w:val="16"/>
                <w:szCs w:val="16"/>
                <w:lang w:val="en-US" w:eastAsia="en-AU"/>
              </w:rPr>
              <w:t>D</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10BC3BD4" w14:textId="77777777" w:rsidR="0097268F" w:rsidRDefault="0097268F" w:rsidP="001E79CB">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0.06</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204FF847"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36F4817A"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D17FC50"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7C375E7A"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73307138"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r>
      <w:tr w:rsidR="0097268F" w14:paraId="054199D6" w14:textId="77777777" w:rsidTr="001E79CB">
        <w:trPr>
          <w:cnfStyle w:val="000000100000" w:firstRow="0" w:lastRow="0" w:firstColumn="0" w:lastColumn="0" w:oddVBand="0" w:evenVBand="0" w:oddHBand="1" w:evenHBand="0" w:firstRowFirstColumn="0" w:firstRowLastColumn="0" w:lastRowFirstColumn="0" w:lastRowLastColumn="0"/>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1E580619" w14:textId="77777777" w:rsidR="0097268F" w:rsidRDefault="0097268F" w:rsidP="001E79CB">
            <w:pPr>
              <w:spacing w:before="0"/>
              <w:rPr>
                <w:rFonts w:eastAsia="Times New Roman" w:cstheme="minorHAnsi"/>
                <w:sz w:val="16"/>
                <w:szCs w:val="16"/>
                <w:lang w:val="en-US" w:eastAsia="en-AU"/>
              </w:rPr>
            </w:pPr>
            <w:r>
              <w:rPr>
                <w:rFonts w:eastAsia="Times New Roman" w:cstheme="minorHAnsi"/>
                <w:sz w:val="16"/>
                <w:szCs w:val="16"/>
                <w:lang w:val="en-US" w:eastAsia="en-AU"/>
              </w:rPr>
              <w:t>E</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31EEA548" w14:textId="77777777" w:rsidR="0097268F" w:rsidRDefault="0097268F" w:rsidP="001E79CB">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-0.04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2B47777A"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FBF3F43"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16EAD32C"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49B3ECC4"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168EF45F"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0.09</w:t>
            </w:r>
          </w:p>
        </w:tc>
      </w:tr>
      <w:tr w:rsidR="0097268F" w14:paraId="44106E17" w14:textId="77777777" w:rsidTr="001E79CB">
        <w:trPr>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40B7587F" w14:textId="77777777" w:rsidR="0097268F" w:rsidRDefault="0097268F" w:rsidP="001E79CB">
            <w:pPr>
              <w:spacing w:before="0"/>
              <w:rPr>
                <w:rFonts w:eastAsia="Times New Roman" w:cstheme="minorHAnsi"/>
                <w:sz w:val="16"/>
                <w:szCs w:val="16"/>
                <w:lang w:val="en-US" w:eastAsia="en-AU"/>
              </w:rPr>
            </w:pPr>
            <w:r>
              <w:rPr>
                <w:rFonts w:eastAsia="Times New Roman" w:cstheme="minorHAnsi"/>
                <w:sz w:val="16"/>
                <w:szCs w:val="16"/>
                <w:lang w:val="en-US" w:eastAsia="en-AU"/>
              </w:rPr>
              <w:t>F</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4CACAFD" w14:textId="77777777" w:rsidR="0097268F" w:rsidRDefault="0097268F" w:rsidP="001E79CB">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0.08</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2DA375D"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0.08</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88A8A09"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-0.18</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45DE24EF"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763BAEFE"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AB53072" w14:textId="77777777" w:rsidR="0097268F" w:rsidRDefault="0097268F" w:rsidP="001E79CB">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r>
    </w:tbl>
    <w:p w14:paraId="455C38AE" w14:textId="77777777" w:rsidR="0097268F" w:rsidRDefault="0097268F" w:rsidP="007230A7">
      <w:r>
        <w:tab/>
        <w:t xml:space="preserve">See p.58 of the </w:t>
      </w:r>
      <w:r w:rsidRPr="00862C84">
        <w:rPr>
          <w:i/>
        </w:rPr>
        <w:t>Annual Pricing Review 2020-21</w:t>
      </w:r>
      <w:r>
        <w:t>.</w:t>
      </w:r>
    </w:p>
    <w:p w14:paraId="7DF73A42" w14:textId="77777777" w:rsidR="0097268F" w:rsidRDefault="0097268F" w:rsidP="007230A7">
      <w:pPr>
        <w:rPr>
          <w:rStyle w:val="Hyperlink"/>
        </w:rPr>
      </w:pPr>
      <w:r>
        <w:t xml:space="preserve">3. </w:t>
      </w:r>
      <w:hyperlink r:id="rId21" w:history="1">
        <w:r w:rsidRPr="00E419AE">
          <w:rPr>
            <w:rStyle w:val="Hyperlink"/>
          </w:rPr>
          <w:t>https://www.ndis.gov.au/media/1820/download</w:t>
        </w:r>
      </w:hyperlink>
    </w:p>
    <w:p w14:paraId="1082E805" w14:textId="77777777" w:rsidR="00AD4EBC" w:rsidRDefault="00AD4EBC" w:rsidP="007230A7">
      <w:pPr>
        <w:rPr>
          <w:rStyle w:val="Hyperlink"/>
        </w:rPr>
      </w:pPr>
      <w:r w:rsidRPr="00AD4EBC">
        <w:t xml:space="preserve">4. </w:t>
      </w:r>
      <w:hyperlink r:id="rId22" w:history="1">
        <w:r w:rsidRPr="00C4452F">
          <w:rPr>
            <w:rStyle w:val="Hyperlink"/>
          </w:rPr>
          <w:t>https://www.ndis.gov.au/media/2413/download</w:t>
        </w:r>
      </w:hyperlink>
    </w:p>
    <w:p w14:paraId="090BCCFB" w14:textId="77777777" w:rsidR="00AD4EBC" w:rsidRDefault="00AD4EBC" w:rsidP="007230A7">
      <w:r w:rsidRPr="00AD4EBC">
        <w:t xml:space="preserve">5. </w:t>
      </w:r>
      <w:r>
        <w:t xml:space="preserve">Fair Work Commission, </w:t>
      </w:r>
      <w:hyperlink r:id="rId23" w:history="1">
        <w:r w:rsidRPr="007075DE">
          <w:rPr>
            <w:rStyle w:val="Hyperlink"/>
            <w:i/>
          </w:rPr>
          <w:t>Social, Community, Home Care and Disability Services Industry Award 2010</w:t>
        </w:r>
        <w:r w:rsidRPr="007075DE">
          <w:rPr>
            <w:rStyle w:val="Hyperlink"/>
          </w:rPr>
          <w:t>,</w:t>
        </w:r>
      </w:hyperlink>
      <w:r>
        <w:t xml:space="preserve"> </w:t>
      </w:r>
      <w:r w:rsidRPr="007075DE">
        <w:t xml:space="preserve">incorporating all amendments up to and including </w:t>
      </w:r>
      <w:r>
        <w:t>30</w:t>
      </w:r>
      <w:r w:rsidRPr="007075DE">
        <w:t xml:space="preserve"> June 2020</w:t>
      </w:r>
      <w:r>
        <w:t>.</w:t>
      </w:r>
    </w:p>
    <w:p w14:paraId="24C35F66" w14:textId="77777777" w:rsidR="00AD4EBC" w:rsidRDefault="00AD4EBC" w:rsidP="007230A7">
      <w:pPr>
        <w:rPr>
          <w:rStyle w:val="Hyperlink"/>
        </w:rPr>
      </w:pPr>
      <w:r>
        <w:t xml:space="preserve">6. </w:t>
      </w:r>
      <w:hyperlink r:id="rId24" w:history="1">
        <w:r w:rsidRPr="000F6F17">
          <w:rPr>
            <w:rStyle w:val="Hyperlink"/>
          </w:rPr>
          <w:t>https://www.fairwork.gov.au/ArticleDocuments/872/social-community-home-care-and-disability-services-industry-award-ma000100-pay-guide.pdf.aspx</w:t>
        </w:r>
      </w:hyperlink>
    </w:p>
    <w:p w14:paraId="762F97F4" w14:textId="77777777" w:rsidR="00AD4EBC" w:rsidRDefault="00AD4EBC" w:rsidP="007230A7">
      <w:r w:rsidRPr="00AD4EBC">
        <w:t xml:space="preserve">7. </w:t>
      </w:r>
      <w:r>
        <w:t>SCHADS Award: Clauses 10.4(b), 26 and 29.3.</w:t>
      </w:r>
    </w:p>
    <w:p w14:paraId="1AE56BEC" w14:textId="77777777" w:rsidR="00AD4EBC" w:rsidRPr="00AD4EBC" w:rsidRDefault="00AD4EBC" w:rsidP="007230A7">
      <w:r>
        <w:t>8. SCHADS Award: Clause 25.1.</w:t>
      </w:r>
    </w:p>
    <w:p w14:paraId="6E69EF02" w14:textId="77777777" w:rsidR="0097268F" w:rsidRDefault="00A6229E" w:rsidP="007230A7">
      <w:pPr>
        <w:rPr>
          <w:rStyle w:val="Hyperlink"/>
        </w:rPr>
      </w:pPr>
      <w:r>
        <w:t xml:space="preserve">9. The National Employment Standards govern leave and several other conditions in Awards, and also may not be reduced by EBAs. </w:t>
      </w:r>
      <w:hyperlink r:id="rId25" w:history="1">
        <w:r w:rsidRPr="00E419AE">
          <w:rPr>
            <w:rStyle w:val="Hyperlink"/>
          </w:rPr>
          <w:t>https://www.fairwork.gov.au/employee-entitlements/national-employment-standards</w:t>
        </w:r>
      </w:hyperlink>
    </w:p>
    <w:p w14:paraId="71031B5B" w14:textId="77777777" w:rsidR="00C17E6B" w:rsidRDefault="00C17E6B" w:rsidP="007230A7">
      <w:pPr>
        <w:rPr>
          <w:rStyle w:val="Hyperlink"/>
        </w:rPr>
      </w:pPr>
      <w:r w:rsidRPr="00C17E6B">
        <w:t xml:space="preserve">10. </w:t>
      </w:r>
      <w:hyperlink r:id="rId26" w:history="1">
        <w:r w:rsidRPr="00E419AE">
          <w:rPr>
            <w:rStyle w:val="Hyperlink"/>
          </w:rPr>
          <w:t>https://www.fairwork.gov.au/leave/annual-leave</w:t>
        </w:r>
      </w:hyperlink>
    </w:p>
    <w:p w14:paraId="1F3D672D" w14:textId="77777777" w:rsidR="00C17E6B" w:rsidRPr="00C17E6B" w:rsidRDefault="00C17E6B" w:rsidP="00C17E6B">
      <w:pPr>
        <w:pStyle w:val="FootnoteText"/>
        <w:rPr>
          <w:sz w:val="22"/>
        </w:rPr>
      </w:pPr>
      <w:r w:rsidRPr="00C17E6B">
        <w:rPr>
          <w:sz w:val="22"/>
        </w:rPr>
        <w:t>11.</w:t>
      </w:r>
      <w:r w:rsidRPr="00C17E6B">
        <w:rPr>
          <w:szCs w:val="22"/>
        </w:rPr>
        <w:t xml:space="preserve"> </w:t>
      </w:r>
      <w:hyperlink r:id="rId27" w:history="1">
        <w:r w:rsidRPr="00C17E6B">
          <w:rPr>
            <w:rStyle w:val="Hyperlink"/>
            <w:sz w:val="22"/>
          </w:rPr>
          <w:t>https://www.fairwork.gov.au/leave/public-holidays</w:t>
        </w:r>
      </w:hyperlink>
      <w:r w:rsidRPr="00C17E6B">
        <w:rPr>
          <w:sz w:val="22"/>
        </w:rPr>
        <w:t xml:space="preserve"> </w:t>
      </w:r>
    </w:p>
    <w:p w14:paraId="11ABD93B" w14:textId="77777777" w:rsidR="00C17E6B" w:rsidRDefault="00C17E6B" w:rsidP="00C17E6B">
      <w:r>
        <w:t>Note: The Agency recognises that there are more than 10 public holidays in each year, and that the number of public holidays varies by jurisdiction. However, some public holidays occur on weekends and it is unlikely that any worker in their ordinary working hours would be rostered to have worked on more than 10 public holidays.</w:t>
      </w:r>
    </w:p>
    <w:p w14:paraId="08B96289" w14:textId="77777777" w:rsidR="00307B48" w:rsidRPr="00307B48" w:rsidRDefault="00016CBE" w:rsidP="00307B48">
      <w:pPr>
        <w:pStyle w:val="FootnoteText"/>
        <w:rPr>
          <w:sz w:val="22"/>
        </w:rPr>
      </w:pPr>
      <w:r w:rsidRPr="00307B48">
        <w:rPr>
          <w:sz w:val="22"/>
        </w:rPr>
        <w:t xml:space="preserve">12. </w:t>
      </w:r>
      <w:hyperlink r:id="rId28" w:history="1">
        <w:r w:rsidR="00307B48" w:rsidRPr="00307B48">
          <w:rPr>
            <w:rStyle w:val="Hyperlink"/>
            <w:sz w:val="22"/>
          </w:rPr>
          <w:t>https://www.fairwork.gov.au/leave/sick-and-carers-leave/paid-sick-and-carers-leave</w:t>
        </w:r>
      </w:hyperlink>
      <w:r w:rsidR="00307B48" w:rsidRPr="00307B48">
        <w:rPr>
          <w:sz w:val="22"/>
        </w:rPr>
        <w:t xml:space="preserve"> </w:t>
      </w:r>
    </w:p>
    <w:p w14:paraId="4B05DACA" w14:textId="77777777" w:rsidR="00016CBE" w:rsidRDefault="00307B48" w:rsidP="00307B48">
      <w:pPr>
        <w:rPr>
          <w:rStyle w:val="Hyperlink"/>
        </w:rPr>
      </w:pPr>
      <w:r>
        <w:t>Note: The Cost Model slightly overestimates provider’s cost with respect to this parameter as it assumes all workers utilise all of their personal leave entitlement each year even though some workers may not use their entitlement.</w:t>
      </w:r>
    </w:p>
    <w:p w14:paraId="3AA759FD" w14:textId="77777777" w:rsidR="00307B48" w:rsidRPr="00307B48" w:rsidRDefault="00307B48" w:rsidP="00307B48">
      <w:pPr>
        <w:pStyle w:val="FootnoteText"/>
        <w:rPr>
          <w:sz w:val="22"/>
        </w:rPr>
      </w:pPr>
      <w:r w:rsidRPr="00307B48">
        <w:rPr>
          <w:sz w:val="22"/>
        </w:rPr>
        <w:t xml:space="preserve">13. </w:t>
      </w:r>
      <w:hyperlink r:id="rId29" w:history="1">
        <w:r w:rsidRPr="00307B48">
          <w:rPr>
            <w:rStyle w:val="Hyperlink"/>
            <w:sz w:val="22"/>
          </w:rPr>
          <w:t>https://www.fairwork.gov.au/leave/long-service-leave</w:t>
        </w:r>
      </w:hyperlink>
      <w:r w:rsidRPr="00307B48">
        <w:rPr>
          <w:sz w:val="22"/>
        </w:rPr>
        <w:t xml:space="preserve"> </w:t>
      </w:r>
    </w:p>
    <w:p w14:paraId="41341A3F" w14:textId="77777777" w:rsidR="00C17E6B" w:rsidRDefault="00307B48" w:rsidP="00307B48">
      <w:r>
        <w:t>Note: The Cost Model overestimates provider’s cost with respect to this parameter as it assumes all permanent workers and casual workers qualify for LSL accruals and that all workers will eventually access their long service leave entitlemen</w:t>
      </w:r>
      <w:r w:rsidRPr="008802C0">
        <w:t>t</w:t>
      </w:r>
      <w:r>
        <w:t>. This reflects the rollout of portable long service leave schemes in some jurisdictions.</w:t>
      </w:r>
    </w:p>
    <w:p w14:paraId="06DFCCD7" w14:textId="77777777" w:rsidR="000F7D9D" w:rsidRDefault="000F7D9D" w:rsidP="00307B48">
      <w:r>
        <w:t>14. SCHADS Award: Clause 31.3</w:t>
      </w:r>
    </w:p>
    <w:p w14:paraId="52C20170" w14:textId="77777777" w:rsidR="000F7D9D" w:rsidRDefault="000F7D9D" w:rsidP="00307B48">
      <w:pPr>
        <w:rPr>
          <w:rStyle w:val="Hyperlink"/>
        </w:rPr>
      </w:pPr>
      <w:r>
        <w:t xml:space="preserve">15. </w:t>
      </w:r>
      <w:hyperlink r:id="rId30" w:history="1">
        <w:r w:rsidRPr="000F6F17">
          <w:rPr>
            <w:rStyle w:val="Hyperlink"/>
          </w:rPr>
          <w:t>https://www.ato.gov.au/Business/Super-for-employers/How-much-to-pay/</w:t>
        </w:r>
      </w:hyperlink>
    </w:p>
    <w:p w14:paraId="77BDFB67" w14:textId="77777777" w:rsidR="000F7D9D" w:rsidRDefault="000F7D9D" w:rsidP="00307B48">
      <w:r w:rsidRPr="000F7D9D">
        <w:t xml:space="preserve">16. </w:t>
      </w:r>
      <w:r>
        <w:t xml:space="preserve">The </w:t>
      </w:r>
      <w:r w:rsidRPr="0086773C">
        <w:rPr>
          <w:i/>
        </w:rPr>
        <w:t>Annual Pricing Review 2020-21</w:t>
      </w:r>
      <w:r>
        <w:t xml:space="preserve"> (page 54) found that, </w:t>
      </w:r>
      <w:r w:rsidRPr="0086773C">
        <w:t>aver</w:t>
      </w:r>
      <w:r>
        <w:t xml:space="preserve">aged over 2010-11 to 2014-15, </w:t>
      </w:r>
      <w:r w:rsidRPr="0086773C">
        <w:t xml:space="preserve">the standardised </w:t>
      </w:r>
      <w:r>
        <w:t xml:space="preserve">Australian </w:t>
      </w:r>
      <w:r w:rsidRPr="0086773C">
        <w:t xml:space="preserve">average </w:t>
      </w:r>
      <w:r>
        <w:t xml:space="preserve">workers compensation </w:t>
      </w:r>
      <w:r w:rsidRPr="0086773C">
        <w:t xml:space="preserve">premium rate </w:t>
      </w:r>
      <w:r>
        <w:t>was</w:t>
      </w:r>
      <w:r w:rsidRPr="0086773C">
        <w:t xml:space="preserve"> 1.5% </w:t>
      </w:r>
      <w:r>
        <w:t xml:space="preserve">for </w:t>
      </w:r>
      <w:r w:rsidRPr="0086773C">
        <w:t xml:space="preserve">all industries </w:t>
      </w:r>
      <w:r>
        <w:t xml:space="preserve">and 1.7% </w:t>
      </w:r>
      <w:r w:rsidRPr="0086773C">
        <w:t>for the Health and Community Services sector</w:t>
      </w:r>
      <w:r>
        <w:t>.</w:t>
      </w:r>
      <w:r w:rsidRPr="0086773C">
        <w:t xml:space="preserve"> The </w:t>
      </w:r>
      <w:r>
        <w:t xml:space="preserve">Benchmarking Study undertaken as part of the Annual Pricing Review 2020-21 </w:t>
      </w:r>
      <w:r w:rsidRPr="0086773C">
        <w:t xml:space="preserve">found that the average workers compensation premium among respondents </w:t>
      </w:r>
      <w:r>
        <w:t xml:space="preserve">in the disability sector </w:t>
      </w:r>
      <w:r w:rsidRPr="0086773C">
        <w:t>was 2.6%, with a median of 2.3% and a 25</w:t>
      </w:r>
      <w:r w:rsidRPr="0086773C">
        <w:rPr>
          <w:vertAlign w:val="superscript"/>
        </w:rPr>
        <w:t>th</w:t>
      </w:r>
      <w:r>
        <w:t xml:space="preserve"> </w:t>
      </w:r>
      <w:r w:rsidRPr="0086773C">
        <w:t>percentile of 1.7%.</w:t>
      </w:r>
      <w:r>
        <w:t xml:space="preserve"> In line with the </w:t>
      </w:r>
      <w:r w:rsidRPr="0086773C">
        <w:rPr>
          <w:i/>
        </w:rPr>
        <w:t>NDIS Pricing Strategy</w:t>
      </w:r>
      <w:r>
        <w:t>, this Cost Model parameter has been set at the level achieved by efficient (25</w:t>
      </w:r>
      <w:r w:rsidRPr="00711713">
        <w:rPr>
          <w:vertAlign w:val="superscript"/>
        </w:rPr>
        <w:t>th</w:t>
      </w:r>
      <w:r>
        <w:t xml:space="preserve"> percentile) providers.</w:t>
      </w:r>
    </w:p>
    <w:p w14:paraId="4E6296D4" w14:textId="77777777" w:rsidR="000F7D9D" w:rsidRDefault="000F7D9D" w:rsidP="00307B48">
      <w:r>
        <w:t xml:space="preserve">17. The </w:t>
      </w:r>
      <w:r w:rsidRPr="0086773C">
        <w:rPr>
          <w:i/>
        </w:rPr>
        <w:t>Annual Pricing Review 2020-21</w:t>
      </w:r>
      <w:r>
        <w:t xml:space="preserve"> (page 57) found that </w:t>
      </w:r>
      <w:r w:rsidRPr="00B67AC3">
        <w:t xml:space="preserve">allowances </w:t>
      </w:r>
      <w:r>
        <w:t>in the sector were</w:t>
      </w:r>
      <w:r w:rsidRPr="00B67AC3">
        <w:t xml:space="preserve"> typically in the order of 1.0% of the base salary payable to the worker.</w:t>
      </w:r>
    </w:p>
    <w:p w14:paraId="374118F6" w14:textId="77777777" w:rsidR="000F7D9D" w:rsidRDefault="000F7D9D" w:rsidP="00307B48">
      <w:r>
        <w:t xml:space="preserve">18. </w:t>
      </w:r>
      <w:r w:rsidRPr="0086773C">
        <w:t xml:space="preserve">The </w:t>
      </w:r>
      <w:r>
        <w:t xml:space="preserve">Benchmarking Study undertaken as part of the </w:t>
      </w:r>
      <w:r w:rsidRPr="00711713">
        <w:rPr>
          <w:i/>
        </w:rPr>
        <w:t>Annual Pricing Review 2020-21</w:t>
      </w:r>
      <w:r>
        <w:t xml:space="preserve"> (page 52) </w:t>
      </w:r>
      <w:r w:rsidRPr="0086773C">
        <w:t xml:space="preserve">found that the average </w:t>
      </w:r>
      <w:r>
        <w:t>span of control</w:t>
      </w:r>
      <w:r w:rsidRPr="0086773C">
        <w:t xml:space="preserve"> among respondents </w:t>
      </w:r>
      <w:r>
        <w:t xml:space="preserve">in the disability sector </w:t>
      </w:r>
      <w:r w:rsidRPr="0086773C">
        <w:t xml:space="preserve">was </w:t>
      </w:r>
      <w:r>
        <w:t>11.8:1 with</w:t>
      </w:r>
      <w:r w:rsidRPr="0086773C">
        <w:t xml:space="preserve"> a 25</w:t>
      </w:r>
      <w:r w:rsidRPr="0086773C">
        <w:rPr>
          <w:vertAlign w:val="superscript"/>
        </w:rPr>
        <w:t>th</w:t>
      </w:r>
      <w:r>
        <w:t xml:space="preserve"> percentile of 15:1. In line with the </w:t>
      </w:r>
      <w:r w:rsidRPr="0086773C">
        <w:rPr>
          <w:i/>
        </w:rPr>
        <w:t>NDIS Pricing Strategy</w:t>
      </w:r>
      <w:r>
        <w:t>, this Cost Model parameter has been set at the level achieved by efficient (25</w:t>
      </w:r>
      <w:r w:rsidRPr="00711713">
        <w:rPr>
          <w:vertAlign w:val="superscript"/>
        </w:rPr>
        <w:t>th</w:t>
      </w:r>
      <w:r>
        <w:t xml:space="preserve"> percentile) providers.</w:t>
      </w:r>
    </w:p>
    <w:p w14:paraId="576755F4" w14:textId="77777777" w:rsidR="00432D6D" w:rsidRDefault="00432D6D" w:rsidP="00ED5E28">
      <w:r>
        <w:t xml:space="preserve">19. </w:t>
      </w:r>
      <w:r w:rsidRPr="0086773C">
        <w:t xml:space="preserve">The </w:t>
      </w:r>
      <w:r>
        <w:t xml:space="preserve">Benchmarking Study undertaken as part of the </w:t>
      </w:r>
      <w:r w:rsidRPr="00711713">
        <w:rPr>
          <w:i/>
        </w:rPr>
        <w:t>Annual Pricing Review 2020-21</w:t>
      </w:r>
      <w:r>
        <w:t xml:space="preserve"> (page 52) </w:t>
      </w:r>
      <w:r w:rsidRPr="0086773C">
        <w:t xml:space="preserve">found that the average </w:t>
      </w:r>
      <w:r>
        <w:t xml:space="preserve">casual employment share </w:t>
      </w:r>
      <w:r w:rsidRPr="0086773C">
        <w:t xml:space="preserve">among respondents </w:t>
      </w:r>
      <w:r>
        <w:t xml:space="preserve">in the disability sector </w:t>
      </w:r>
      <w:r w:rsidRPr="0086773C">
        <w:t xml:space="preserve">was </w:t>
      </w:r>
      <w:r>
        <w:t>43.8% with</w:t>
      </w:r>
      <w:r w:rsidRPr="0086773C">
        <w:t xml:space="preserve"> a 25</w:t>
      </w:r>
      <w:r w:rsidRPr="0086773C">
        <w:rPr>
          <w:vertAlign w:val="superscript"/>
        </w:rPr>
        <w:t>th</w:t>
      </w:r>
      <w:r>
        <w:t xml:space="preserve"> percentile of 71.7%. In line with the </w:t>
      </w:r>
      <w:r w:rsidRPr="0086773C">
        <w:rPr>
          <w:i/>
        </w:rPr>
        <w:t>NDIS Pricing Strategy</w:t>
      </w:r>
      <w:r>
        <w:t>, this Cost Model parameter has been set at the level achieved by efficient (25</w:t>
      </w:r>
      <w:r w:rsidRPr="00711713">
        <w:rPr>
          <w:vertAlign w:val="superscript"/>
        </w:rPr>
        <w:t>th</w:t>
      </w:r>
      <w:r>
        <w:t xml:space="preserve"> percentile) providers.</w:t>
      </w:r>
    </w:p>
    <w:p w14:paraId="32596182" w14:textId="77777777" w:rsidR="00692985" w:rsidRPr="001A2B22" w:rsidRDefault="00432D6D" w:rsidP="001A2B22">
      <w:r w:rsidRPr="00432D6D">
        <w:t xml:space="preserve">20. </w:t>
      </w:r>
      <w:r w:rsidRPr="001A2B22">
        <w:t xml:space="preserve">The Benchmarking Study undertaken as part of the Annual Pricing Review 2020-21 (page 52) found that the average utilisation </w:t>
      </w:r>
      <w:r w:rsidR="001A2B22" w:rsidRPr="001A2B22">
        <w:t xml:space="preserve">among </w:t>
      </w:r>
      <w:r w:rsidRPr="001A2B22">
        <w:t>respondents in the disability sector was 79.8% with a 25th percentile of 90.0%. In line with the NDIS Pricing Strategy, this Cost Model parameter has been set at the level achieved by efficient (25th percentile) providers.</w:t>
      </w:r>
    </w:p>
    <w:p w14:paraId="29FE9956" w14:textId="2ADF45CF" w:rsidR="00432D6D" w:rsidRPr="00733882" w:rsidRDefault="00432D6D" w:rsidP="001A2B22">
      <w:r w:rsidRPr="00733882">
        <w:t>Because the Benchmarking Study did not disaggregate its results between DSWs 1, 2 and 3 the efficient utilisation rates have been estimated for each DSW Level around the sector wide 25th percentile with the utilisation rate decreasing slightly with the seniority of the worker.</w:t>
      </w:r>
    </w:p>
    <w:p w14:paraId="274D3B4E" w14:textId="77777777" w:rsidR="00432D6D" w:rsidRPr="00733882" w:rsidRDefault="00432D6D" w:rsidP="001A2B22">
      <w:r w:rsidRPr="00733882">
        <w:t>The utilisation rate for DSW 4s was set after consultations with providers who were currently employing worker</w:t>
      </w:r>
      <w:r w:rsidR="00772088">
        <w:t xml:space="preserve">s in the role of a psychosocial </w:t>
      </w:r>
      <w:r w:rsidRPr="00733882">
        <w:t>recovery coach. These providers indicated that these staff were appropriately classified at the SCHADS pay point 4.4. They also indicated that workers who supported participants with psychosocial disabilities often needed to debrief and be supported at the end of their shifts to support their own mental well-being, which lowered their own and their supervisors’ utilisation rates.</w:t>
      </w:r>
    </w:p>
    <w:p w14:paraId="58E8E89D" w14:textId="77777777" w:rsidR="00432D6D" w:rsidRDefault="00830824" w:rsidP="00307B48">
      <w:r>
        <w:t xml:space="preserve">21. The </w:t>
      </w:r>
      <w:r w:rsidRPr="00711713">
        <w:rPr>
          <w:i/>
        </w:rPr>
        <w:t>Annual Pricing Review 2020-21</w:t>
      </w:r>
      <w:r>
        <w:t xml:space="preserve"> (page 58) found that the o</w:t>
      </w:r>
      <w:r w:rsidRPr="00B67AC3">
        <w:t xml:space="preserve">verheads percentage </w:t>
      </w:r>
      <w:r>
        <w:t xml:space="preserve">should be increased </w:t>
      </w:r>
      <w:r w:rsidRPr="00B67AC3">
        <w:t xml:space="preserve">to 12.0% to better align with the estimated overheads of efficient providers in the sector, </w:t>
      </w:r>
      <w:r>
        <w:t xml:space="preserve">as observed in the Benchmarking Study adjusted for that survey’s unrepresentativeness and </w:t>
      </w:r>
      <w:r w:rsidRPr="00B67AC3">
        <w:t xml:space="preserve">that other recommendations being made by the Review </w:t>
      </w:r>
      <w:r>
        <w:t>would</w:t>
      </w:r>
      <w:r w:rsidRPr="00B67AC3">
        <w:t xml:space="preserve"> directly address some of the costs that providers are currently carrying in their overheads</w:t>
      </w:r>
      <w:r>
        <w:t>.</w:t>
      </w:r>
    </w:p>
    <w:p w14:paraId="7A30C199" w14:textId="77777777" w:rsidR="00830824" w:rsidRDefault="00830824" w:rsidP="00307B48">
      <w:pPr>
        <w:rPr>
          <w:rStyle w:val="Hyperlink"/>
        </w:rPr>
      </w:pPr>
      <w:r>
        <w:t xml:space="preserve">22. </w:t>
      </w:r>
      <w:hyperlink r:id="rId31" w:anchor="ndis-price-guide-2020-21-effective-1-july-2020" w:history="1">
        <w:r w:rsidR="006D0769" w:rsidRPr="0075571F">
          <w:rPr>
            <w:rStyle w:val="Hyperlink"/>
          </w:rPr>
          <w:t>https://www.ndis.gov.au/providers/price-guides-and-pricing#ndis-price-guide-2020-21-effective-1-july-2020</w:t>
        </w:r>
      </w:hyperlink>
    </w:p>
    <w:p w14:paraId="3B80005F" w14:textId="77777777" w:rsidR="006D0769" w:rsidRPr="0097268F" w:rsidRDefault="006D0769" w:rsidP="00307B48">
      <w:r w:rsidRPr="006D0769">
        <w:t xml:space="preserve">23. </w:t>
      </w:r>
      <w:hyperlink r:id="rId32" w:history="1">
        <w:r w:rsidRPr="006D1E12">
          <w:rPr>
            <w:rStyle w:val="Hyperlink"/>
          </w:rPr>
          <w:t>https://www.fairwork.gov.au/pay/minimum-wages/social-and-community-services-industry-pay-rates</w:t>
        </w:r>
      </w:hyperlink>
    </w:p>
    <w:sectPr w:rsidR="006D0769" w:rsidRPr="0097268F" w:rsidSect="00DC0A5C">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F830F" w14:textId="77777777" w:rsidR="00D005E6" w:rsidRDefault="00D005E6" w:rsidP="001A3E36">
      <w:r>
        <w:separator/>
      </w:r>
    </w:p>
    <w:p w14:paraId="2613AF78" w14:textId="77777777" w:rsidR="00D005E6" w:rsidRDefault="00D005E6" w:rsidP="001A3E36"/>
  </w:endnote>
  <w:endnote w:type="continuationSeparator" w:id="0">
    <w:p w14:paraId="02C7F35A" w14:textId="77777777" w:rsidR="00D005E6" w:rsidRDefault="00D005E6" w:rsidP="001A3E36">
      <w:r>
        <w:continuationSeparator/>
      </w:r>
    </w:p>
    <w:p w14:paraId="4BCF75D2" w14:textId="77777777" w:rsidR="00D005E6" w:rsidRDefault="00D005E6" w:rsidP="001A3E36"/>
  </w:endnote>
  <w:endnote w:type="continuationNotice" w:id="1">
    <w:p w14:paraId="0B953F65" w14:textId="77777777" w:rsidR="00D005E6" w:rsidRDefault="00D005E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620100"/>
      <w:docPartObj>
        <w:docPartGallery w:val="Page Numbers (Bottom of Page)"/>
        <w:docPartUnique/>
      </w:docPartObj>
    </w:sdtPr>
    <w:sdtEndPr>
      <w:rPr>
        <w:noProof/>
      </w:rPr>
    </w:sdtEndPr>
    <w:sdtContent>
      <w:p w14:paraId="0325EAFE" w14:textId="27206AEE" w:rsidR="000D6539" w:rsidRDefault="000D6539" w:rsidP="00B658AF">
        <w:pPr>
          <w:pStyle w:val="Footer"/>
          <w:jc w:val="center"/>
        </w:pPr>
        <w:r>
          <w:fldChar w:fldCharType="begin"/>
        </w:r>
        <w:r>
          <w:instrText xml:space="preserve"> PAGE   \* MERGEFORMAT </w:instrText>
        </w:r>
        <w:r>
          <w:fldChar w:fldCharType="separate"/>
        </w:r>
        <w:r w:rsidR="003777EA">
          <w:rPr>
            <w:noProof/>
          </w:rPr>
          <w:t>30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EC303" w14:textId="77777777" w:rsidR="000D6539" w:rsidRDefault="000D6539" w:rsidP="00EC73BF">
    <w:r w:rsidRPr="00321F81">
      <w:rPr>
        <w:noProof/>
        <w:lang w:eastAsia="en-AU"/>
      </w:rPr>
      <w:drawing>
        <wp:inline distT="0" distB="0" distL="0" distR="0" wp14:anchorId="2D897A58" wp14:editId="0E275614">
          <wp:extent cx="2275200" cy="540000"/>
          <wp:effectExtent l="0" t="0" r="0" b="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1B6D1" w14:textId="3EE122D9" w:rsidR="000D6539" w:rsidRPr="00D6031F" w:rsidRDefault="000D6539" w:rsidP="00D6031F">
    <w:pPr>
      <w:pStyle w:val="Footer"/>
      <w:tabs>
        <w:tab w:val="clear" w:pos="4513"/>
        <w:tab w:val="clear" w:pos="9026"/>
        <w:tab w:val="left" w:pos="3863"/>
      </w:tabs>
      <w:jc w:val="center"/>
    </w:pPr>
    <w:r w:rsidRPr="007C1E38">
      <w:rPr>
        <w:caps/>
      </w:rPr>
      <w:fldChar w:fldCharType="begin"/>
    </w:r>
    <w:r w:rsidRPr="007C1E38">
      <w:rPr>
        <w:caps/>
      </w:rPr>
      <w:instrText xml:space="preserve"> PAGE   \* MERGEFORMAT </w:instrText>
    </w:r>
    <w:r w:rsidRPr="007C1E38">
      <w:rPr>
        <w:caps/>
      </w:rPr>
      <w:fldChar w:fldCharType="separate"/>
    </w:r>
    <w:r w:rsidR="003777EA">
      <w:rPr>
        <w:caps/>
        <w:noProof/>
      </w:rPr>
      <w:t>29</w:t>
    </w:r>
    <w:r w:rsidRPr="007C1E38">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8A5B5" w14:textId="77777777" w:rsidR="00D005E6" w:rsidRDefault="00D005E6" w:rsidP="001A3E36">
      <w:r>
        <w:separator/>
      </w:r>
    </w:p>
  </w:footnote>
  <w:footnote w:type="continuationSeparator" w:id="0">
    <w:p w14:paraId="3A3093DB" w14:textId="77777777" w:rsidR="00D005E6" w:rsidRDefault="00D005E6" w:rsidP="001A3E36">
      <w:r>
        <w:continuationSeparator/>
      </w:r>
    </w:p>
  </w:footnote>
  <w:footnote w:type="continuationNotice" w:id="1">
    <w:p w14:paraId="7A9D51C9" w14:textId="77777777" w:rsidR="00D005E6" w:rsidRDefault="00D005E6">
      <w:pPr>
        <w:spacing w:before="0" w:after="0" w:line="240" w:lineRule="auto"/>
      </w:pPr>
    </w:p>
  </w:footnote>
  <w:footnote w:id="2">
    <w:p w14:paraId="161DFFC4" w14:textId="77777777" w:rsidR="000D6539" w:rsidRDefault="000D6539" w:rsidP="00AC5E2D">
      <w:pPr>
        <w:pStyle w:val="FootnoteText"/>
      </w:pPr>
      <w:r>
        <w:rPr>
          <w:rStyle w:val="FootnoteReference"/>
        </w:rPr>
        <w:footnoteRef/>
      </w:r>
      <w:r>
        <w:t xml:space="preserve"> </w:t>
      </w:r>
      <w:r>
        <w:tab/>
      </w:r>
      <w:hyperlink r:id="rId1" w:history="1">
        <w:r w:rsidRPr="00E419AE">
          <w:rPr>
            <w:rStyle w:val="Hyperlink"/>
          </w:rPr>
          <w:t>https://www.ndis.gov.au/media/1662/download</w:t>
        </w:r>
      </w:hyperlink>
      <w:r>
        <w:t xml:space="preserve"> </w:t>
      </w:r>
    </w:p>
  </w:footnote>
  <w:footnote w:id="3">
    <w:p w14:paraId="17E9D0C5" w14:textId="77777777" w:rsidR="000D6539" w:rsidRDefault="000D6539" w:rsidP="00862C84">
      <w:pPr>
        <w:pStyle w:val="FootnoteText"/>
      </w:pPr>
      <w:r>
        <w:rPr>
          <w:rStyle w:val="FootnoteReference"/>
        </w:rPr>
        <w:footnoteRef/>
      </w:r>
      <w:r>
        <w:t xml:space="preserve"> </w:t>
      </w:r>
      <w:r>
        <w:tab/>
        <w:t>The NDIA considers that it is appropriate to estimate the cost structure of overall efficient (25</w:t>
      </w:r>
      <w:r>
        <w:rPr>
          <w:vertAlign w:val="superscript"/>
        </w:rPr>
        <w:t>th</w:t>
      </w:r>
      <w:r>
        <w:t xml:space="preserve"> percentile) providers by reference to the 25</w:t>
      </w:r>
      <w:r>
        <w:rPr>
          <w:vertAlign w:val="superscript"/>
        </w:rPr>
        <w:t>th</w:t>
      </w:r>
      <w:r>
        <w:t xml:space="preserve"> percentile of all providers’ performance against each of the key parameters because there is little collinearity observed between the parameters in the TTP Benchmarking Survey results. The determinant of the Pearson product-moment correlation coefficient matrix (see below) is 87.1%.</w:t>
      </w:r>
    </w:p>
    <w:tbl>
      <w:tblPr>
        <w:tblStyle w:val="GridTable4-Accent4"/>
        <w:tblW w:w="4170" w:type="pct"/>
        <w:jc w:val="center"/>
        <w:tblLook w:val="0420" w:firstRow="1" w:lastRow="0" w:firstColumn="0" w:lastColumn="0" w:noHBand="0" w:noVBand="1"/>
        <w:tblDescription w:val="Appropriate Estimate of Cost Structure"/>
      </w:tblPr>
      <w:tblGrid>
        <w:gridCol w:w="1080"/>
        <w:gridCol w:w="1080"/>
        <w:gridCol w:w="1132"/>
        <w:gridCol w:w="1080"/>
        <w:gridCol w:w="1328"/>
        <w:gridCol w:w="1080"/>
        <w:gridCol w:w="1080"/>
      </w:tblGrid>
      <w:tr w:rsidR="000D6539" w14:paraId="5FCB2C63" w14:textId="77777777" w:rsidTr="00862C84">
        <w:trPr>
          <w:cnfStyle w:val="100000000000" w:firstRow="1" w:lastRow="0" w:firstColumn="0" w:lastColumn="0" w:oddVBand="0" w:evenVBand="0" w:oddHBand="0" w:evenHBand="0" w:firstRowFirstColumn="0" w:firstRowLastColumn="0" w:lastRowFirstColumn="0" w:lastRowLastColumn="0"/>
          <w:trHeight w:val="225"/>
          <w:tblHeader/>
          <w:jc w:val="center"/>
        </w:trPr>
        <w:tc>
          <w:tcPr>
            <w:tcW w:w="1080" w:type="dxa"/>
            <w:noWrap/>
            <w:hideMark/>
          </w:tcPr>
          <w:p w14:paraId="7FFAC721" w14:textId="77777777" w:rsidR="000D6539" w:rsidRDefault="000D6539" w:rsidP="00862C84"/>
        </w:tc>
        <w:tc>
          <w:tcPr>
            <w:tcW w:w="1080" w:type="dxa"/>
            <w:hideMark/>
          </w:tcPr>
          <w:p w14:paraId="52B62FF7" w14:textId="77777777" w:rsidR="000D6539" w:rsidRDefault="000D6539" w:rsidP="00862C84">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A =</w:t>
            </w:r>
            <w:r>
              <w:rPr>
                <w:rFonts w:eastAsia="Times New Roman" w:cstheme="minorHAnsi"/>
                <w:color w:val="FFFFFF"/>
                <w:sz w:val="16"/>
                <w:szCs w:val="16"/>
                <w:lang w:val="en-US" w:eastAsia="en-AU"/>
              </w:rPr>
              <w:br/>
              <w:t>Permanent Share of Workforce</w:t>
            </w:r>
          </w:p>
        </w:tc>
        <w:tc>
          <w:tcPr>
            <w:tcW w:w="1080" w:type="dxa"/>
            <w:hideMark/>
          </w:tcPr>
          <w:p w14:paraId="325AF96A" w14:textId="77777777" w:rsidR="000D6539" w:rsidRDefault="000D6539" w:rsidP="00862C84">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B =</w:t>
            </w:r>
          </w:p>
          <w:p w14:paraId="671F1373" w14:textId="77777777" w:rsidR="000D6539" w:rsidRDefault="000D6539" w:rsidP="00862C84">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Supervision Ratio</w:t>
            </w:r>
          </w:p>
        </w:tc>
        <w:tc>
          <w:tcPr>
            <w:tcW w:w="1080" w:type="dxa"/>
            <w:hideMark/>
          </w:tcPr>
          <w:p w14:paraId="2E3A089B" w14:textId="77777777" w:rsidR="000D6539" w:rsidRDefault="000D6539" w:rsidP="00862C84">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C =</w:t>
            </w:r>
            <w:r>
              <w:rPr>
                <w:rFonts w:eastAsia="Times New Roman" w:cstheme="minorHAnsi"/>
                <w:color w:val="FFFFFF"/>
                <w:sz w:val="16"/>
                <w:szCs w:val="16"/>
                <w:lang w:val="en-US" w:eastAsia="en-AU"/>
              </w:rPr>
              <w:br/>
              <w:t>Non travel allowances</w:t>
            </w:r>
          </w:p>
        </w:tc>
        <w:tc>
          <w:tcPr>
            <w:tcW w:w="1080" w:type="dxa"/>
            <w:hideMark/>
          </w:tcPr>
          <w:p w14:paraId="0368F662" w14:textId="77777777" w:rsidR="000D6539" w:rsidRDefault="000D6539" w:rsidP="00862C84">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D =</w:t>
            </w:r>
            <w:r>
              <w:rPr>
                <w:rFonts w:eastAsia="Times New Roman" w:cstheme="minorHAnsi"/>
                <w:color w:val="FFFFFF"/>
                <w:sz w:val="16"/>
                <w:szCs w:val="16"/>
                <w:lang w:val="en-US" w:eastAsia="en-AU"/>
              </w:rPr>
              <w:br/>
              <w:t>Workers Compensation Premium</w:t>
            </w:r>
          </w:p>
        </w:tc>
        <w:tc>
          <w:tcPr>
            <w:tcW w:w="1080" w:type="dxa"/>
            <w:hideMark/>
          </w:tcPr>
          <w:p w14:paraId="6CC0B96F" w14:textId="77777777" w:rsidR="000D6539" w:rsidRDefault="000D6539" w:rsidP="00862C84">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E =</w:t>
            </w:r>
          </w:p>
          <w:p w14:paraId="3896BB21" w14:textId="77777777" w:rsidR="000D6539" w:rsidRDefault="000D6539" w:rsidP="00862C84">
            <w:pPr>
              <w:spacing w:before="0"/>
              <w:jc w:val="center"/>
              <w:rPr>
                <w:rFonts w:eastAsia="Times New Roman" w:cstheme="minorHAnsi"/>
                <w:color w:val="FFFFFF"/>
                <w:sz w:val="16"/>
                <w:szCs w:val="16"/>
                <w:lang w:val="en-US" w:eastAsia="en-AU"/>
              </w:rPr>
            </w:pPr>
            <w:proofErr w:type="spellStart"/>
            <w:r>
              <w:rPr>
                <w:rFonts w:eastAsia="Times New Roman" w:cstheme="minorHAnsi"/>
                <w:color w:val="FFFFFF"/>
                <w:sz w:val="16"/>
                <w:szCs w:val="16"/>
                <w:lang w:val="en-US" w:eastAsia="en-AU"/>
              </w:rPr>
              <w:t>Utilisation</w:t>
            </w:r>
            <w:proofErr w:type="spellEnd"/>
            <w:r>
              <w:rPr>
                <w:rFonts w:eastAsia="Times New Roman" w:cstheme="minorHAnsi"/>
                <w:color w:val="FFFFFF"/>
                <w:sz w:val="16"/>
                <w:szCs w:val="16"/>
                <w:lang w:val="en-US" w:eastAsia="en-AU"/>
              </w:rPr>
              <w:t xml:space="preserve"> percentage</w:t>
            </w:r>
          </w:p>
        </w:tc>
        <w:tc>
          <w:tcPr>
            <w:tcW w:w="1080" w:type="dxa"/>
            <w:hideMark/>
          </w:tcPr>
          <w:p w14:paraId="0995B8BC" w14:textId="77777777" w:rsidR="000D6539" w:rsidRDefault="000D6539" w:rsidP="00862C84">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F =</w:t>
            </w:r>
          </w:p>
          <w:p w14:paraId="4FDCAC4F" w14:textId="77777777" w:rsidR="000D6539" w:rsidRDefault="000D6539" w:rsidP="00862C84">
            <w:pPr>
              <w:spacing w:before="0"/>
              <w:jc w:val="center"/>
              <w:rPr>
                <w:rFonts w:eastAsia="Times New Roman" w:cstheme="minorHAnsi"/>
                <w:color w:val="FFFFFF"/>
                <w:sz w:val="16"/>
                <w:szCs w:val="16"/>
                <w:lang w:val="en-US" w:eastAsia="en-AU"/>
              </w:rPr>
            </w:pPr>
            <w:r>
              <w:rPr>
                <w:rFonts w:eastAsia="Times New Roman" w:cstheme="minorHAnsi"/>
                <w:color w:val="FFFFFF"/>
                <w:sz w:val="16"/>
                <w:szCs w:val="16"/>
                <w:lang w:val="en-US" w:eastAsia="en-AU"/>
              </w:rPr>
              <w:t>Overheads percentage</w:t>
            </w:r>
          </w:p>
        </w:tc>
      </w:tr>
      <w:tr w:rsidR="000D6539" w14:paraId="1BA67A02" w14:textId="77777777" w:rsidTr="00862C84">
        <w:trPr>
          <w:cnfStyle w:val="000000100000" w:firstRow="0" w:lastRow="0" w:firstColumn="0" w:lastColumn="0" w:oddVBand="0" w:evenVBand="0" w:oddHBand="1" w:evenHBand="0" w:firstRowFirstColumn="0" w:firstRowLastColumn="0" w:lastRowFirstColumn="0" w:lastRowLastColumn="0"/>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1072BC11" w14:textId="77777777" w:rsidR="000D6539" w:rsidRDefault="000D6539" w:rsidP="00862C84">
            <w:pPr>
              <w:spacing w:before="0"/>
              <w:rPr>
                <w:rFonts w:eastAsia="Times New Roman" w:cstheme="minorHAnsi"/>
                <w:sz w:val="16"/>
                <w:szCs w:val="16"/>
                <w:lang w:val="en-US" w:eastAsia="en-AU"/>
              </w:rPr>
            </w:pPr>
            <w:r>
              <w:rPr>
                <w:rFonts w:eastAsia="Times New Roman" w:cstheme="minorHAnsi"/>
                <w:sz w:val="16"/>
                <w:szCs w:val="16"/>
                <w:lang w:val="en-US" w:eastAsia="en-AU"/>
              </w:rPr>
              <w:t>A</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1CA59372" w14:textId="77777777" w:rsidR="000D6539" w:rsidRDefault="000D6539" w:rsidP="00862C84">
            <w:pPr>
              <w:spacing w:before="0"/>
              <w:jc w:val="center"/>
              <w:rPr>
                <w:rFonts w:eastAsia="Times New Roman" w:cstheme="minorHAnsi"/>
                <w:sz w:val="16"/>
                <w:szCs w:val="16"/>
                <w:lang w:val="en-US" w:eastAsia="en-AU"/>
              </w:rPr>
            </w:pPr>
            <w:r>
              <w:rPr>
                <w:rFonts w:eastAsia="Times New Roman" w:cstheme="minorHAnsi"/>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171649E5"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4D1D82A0"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-0.13</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02902F4"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0.06</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4063016A"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313A10E2"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0.08</w:t>
            </w:r>
          </w:p>
        </w:tc>
      </w:tr>
      <w:tr w:rsidR="000D6539" w14:paraId="003E9E11" w14:textId="77777777" w:rsidTr="00862C84">
        <w:trPr>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5CA35247" w14:textId="77777777" w:rsidR="000D6539" w:rsidRDefault="000D6539" w:rsidP="00862C84">
            <w:pPr>
              <w:spacing w:before="0"/>
              <w:rPr>
                <w:rFonts w:eastAsia="Times New Roman" w:cstheme="minorHAnsi"/>
                <w:sz w:val="16"/>
                <w:szCs w:val="16"/>
                <w:lang w:val="en-US" w:eastAsia="en-AU"/>
              </w:rPr>
            </w:pPr>
            <w:r>
              <w:rPr>
                <w:rFonts w:eastAsia="Times New Roman" w:cstheme="minorHAnsi"/>
                <w:sz w:val="16"/>
                <w:szCs w:val="16"/>
                <w:lang w:val="en-US" w:eastAsia="en-AU"/>
              </w:rPr>
              <w:t>B</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0984670" w14:textId="77777777" w:rsidR="000D6539" w:rsidRDefault="000D6539" w:rsidP="00862C84">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-0.09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CD2E597"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71BEC6D1"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-0.07</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3EDE3A22"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E690E14"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4F4E0C67"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0.08</w:t>
            </w:r>
          </w:p>
        </w:tc>
      </w:tr>
      <w:tr w:rsidR="000D6539" w14:paraId="4998D588" w14:textId="77777777" w:rsidTr="00862C84">
        <w:trPr>
          <w:cnfStyle w:val="000000100000" w:firstRow="0" w:lastRow="0" w:firstColumn="0" w:lastColumn="0" w:oddVBand="0" w:evenVBand="0" w:oddHBand="1" w:evenHBand="0" w:firstRowFirstColumn="0" w:firstRowLastColumn="0" w:lastRowFirstColumn="0" w:lastRowLastColumn="0"/>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7D42B30F" w14:textId="77777777" w:rsidR="000D6539" w:rsidRDefault="000D6539" w:rsidP="00862C84">
            <w:pPr>
              <w:spacing w:before="0"/>
              <w:rPr>
                <w:rFonts w:eastAsia="Times New Roman" w:cstheme="minorHAnsi"/>
                <w:sz w:val="16"/>
                <w:szCs w:val="16"/>
                <w:lang w:val="en-US" w:eastAsia="en-AU"/>
              </w:rPr>
            </w:pPr>
            <w:r>
              <w:rPr>
                <w:rFonts w:eastAsia="Times New Roman" w:cstheme="minorHAnsi"/>
                <w:sz w:val="16"/>
                <w:szCs w:val="16"/>
                <w:lang w:val="en-US" w:eastAsia="en-AU"/>
              </w:rPr>
              <w:t>C</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2DC5232" w14:textId="77777777" w:rsidR="000D6539" w:rsidRDefault="000D6539" w:rsidP="00862C84">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-0.13</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94A00E2"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-0.07</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710CB34"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2A503FFE"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3B3AC4B"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7EE59BD9"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-0.18</w:t>
            </w:r>
          </w:p>
        </w:tc>
      </w:tr>
      <w:tr w:rsidR="000D6539" w14:paraId="31232E56" w14:textId="77777777" w:rsidTr="00862C84">
        <w:trPr>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0744AC6F" w14:textId="77777777" w:rsidR="000D6539" w:rsidRDefault="000D6539" w:rsidP="00862C84">
            <w:pPr>
              <w:spacing w:before="0"/>
              <w:rPr>
                <w:rFonts w:eastAsia="Times New Roman" w:cstheme="minorHAnsi"/>
                <w:sz w:val="16"/>
                <w:szCs w:val="16"/>
                <w:lang w:val="en-US" w:eastAsia="en-AU"/>
              </w:rPr>
            </w:pPr>
            <w:r>
              <w:rPr>
                <w:rFonts w:eastAsia="Times New Roman" w:cstheme="minorHAnsi"/>
                <w:sz w:val="16"/>
                <w:szCs w:val="16"/>
                <w:lang w:val="en-US" w:eastAsia="en-AU"/>
              </w:rPr>
              <w:t>D</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7097D29F" w14:textId="77777777" w:rsidR="000D6539" w:rsidRDefault="000D6539" w:rsidP="00862C84">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0.06</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B7815BA"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18E62CB5"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14DCEB4"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30FFBD03"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5E02EBF6"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r>
      <w:tr w:rsidR="000D6539" w14:paraId="381E7EA8" w14:textId="77777777" w:rsidTr="00862C84">
        <w:trPr>
          <w:cnfStyle w:val="000000100000" w:firstRow="0" w:lastRow="0" w:firstColumn="0" w:lastColumn="0" w:oddVBand="0" w:evenVBand="0" w:oddHBand="1" w:evenHBand="0" w:firstRowFirstColumn="0" w:firstRowLastColumn="0" w:lastRowFirstColumn="0" w:lastRowLastColumn="0"/>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2DB55749" w14:textId="77777777" w:rsidR="000D6539" w:rsidRDefault="000D6539" w:rsidP="00862C84">
            <w:pPr>
              <w:spacing w:before="0"/>
              <w:rPr>
                <w:rFonts w:eastAsia="Times New Roman" w:cstheme="minorHAnsi"/>
                <w:sz w:val="16"/>
                <w:szCs w:val="16"/>
                <w:lang w:val="en-US" w:eastAsia="en-AU"/>
              </w:rPr>
            </w:pPr>
            <w:r>
              <w:rPr>
                <w:rFonts w:eastAsia="Times New Roman" w:cstheme="minorHAnsi"/>
                <w:sz w:val="16"/>
                <w:szCs w:val="16"/>
                <w:lang w:val="en-US" w:eastAsia="en-AU"/>
              </w:rPr>
              <w:t>E</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20E24E48" w14:textId="77777777" w:rsidR="000D6539" w:rsidRDefault="000D6539" w:rsidP="00862C84">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-0.04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24E1F3EE"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B57A7CA"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-0.14</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3CCC97F2"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FEDF529"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36E2DBFE"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0.09</w:t>
            </w:r>
          </w:p>
        </w:tc>
      </w:tr>
      <w:tr w:rsidR="000D6539" w14:paraId="1854D4B4" w14:textId="77777777" w:rsidTr="00862C84">
        <w:trPr>
          <w:trHeight w:val="225"/>
          <w:jc w:val="center"/>
        </w:trPr>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hideMark/>
          </w:tcPr>
          <w:p w14:paraId="04EDD5A4" w14:textId="77777777" w:rsidR="000D6539" w:rsidRDefault="000D6539" w:rsidP="00862C84">
            <w:pPr>
              <w:spacing w:before="0"/>
              <w:rPr>
                <w:rFonts w:eastAsia="Times New Roman" w:cstheme="minorHAnsi"/>
                <w:sz w:val="16"/>
                <w:szCs w:val="16"/>
                <w:lang w:val="en-US" w:eastAsia="en-AU"/>
              </w:rPr>
            </w:pPr>
            <w:r>
              <w:rPr>
                <w:rFonts w:eastAsia="Times New Roman" w:cstheme="minorHAnsi"/>
                <w:sz w:val="16"/>
                <w:szCs w:val="16"/>
                <w:lang w:val="en-US" w:eastAsia="en-AU"/>
              </w:rPr>
              <w:t>F</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3329A98E" w14:textId="77777777" w:rsidR="000D6539" w:rsidRDefault="000D6539" w:rsidP="00862C84">
            <w:pPr>
              <w:spacing w:before="0"/>
              <w:jc w:val="center"/>
              <w:rPr>
                <w:rFonts w:eastAsia="Times New Roman" w:cstheme="minorHAnsi"/>
                <w:sz w:val="16"/>
                <w:szCs w:val="16"/>
                <w:lang w:val="en-US" w:eastAsia="en-AU"/>
              </w:rPr>
            </w:pPr>
            <w:r>
              <w:rPr>
                <w:rFonts w:eastAsia="Times New Roman" w:cstheme="minorHAnsi"/>
                <w:sz w:val="16"/>
                <w:szCs w:val="16"/>
                <w:lang w:val="en-US" w:eastAsia="en-AU"/>
              </w:rPr>
              <w:t>0.08</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605A702B"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0.08</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88E1BAF"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-0.18</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4EC8B7EE"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0.02</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0544F783"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0.09</w:t>
            </w:r>
          </w:p>
        </w:tc>
        <w:tc>
          <w:tcPr>
            <w:tcW w:w="1080" w:type="dxa"/>
            <w:tc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tcBorders>
            <w:noWrap/>
            <w:vAlign w:val="center"/>
            <w:hideMark/>
          </w:tcPr>
          <w:p w14:paraId="41D80C18" w14:textId="77777777" w:rsidR="000D6539" w:rsidRDefault="000D6539" w:rsidP="00862C84">
            <w:pPr>
              <w:spacing w:before="0"/>
              <w:jc w:val="center"/>
              <w:rPr>
                <w:rFonts w:eastAsia="Times New Roman" w:cstheme="minorHAnsi"/>
                <w:color w:val="000000"/>
                <w:sz w:val="16"/>
                <w:szCs w:val="16"/>
                <w:lang w:val="en-US" w:eastAsia="en-AU"/>
              </w:rPr>
            </w:pPr>
            <w:r>
              <w:rPr>
                <w:rFonts w:eastAsia="Times New Roman" w:cstheme="minorHAnsi"/>
                <w:color w:val="000000"/>
                <w:sz w:val="16"/>
                <w:szCs w:val="16"/>
                <w:lang w:val="en-US" w:eastAsia="en-AU"/>
              </w:rPr>
              <w:t>1.00</w:t>
            </w:r>
          </w:p>
        </w:tc>
      </w:tr>
    </w:tbl>
    <w:p w14:paraId="0970CB05" w14:textId="77777777" w:rsidR="000D6539" w:rsidRDefault="000D6539">
      <w:pPr>
        <w:pStyle w:val="FootnoteText"/>
      </w:pPr>
      <w:r>
        <w:tab/>
        <w:t xml:space="preserve">See p.58 of the </w:t>
      </w:r>
      <w:r w:rsidRPr="00862C84">
        <w:rPr>
          <w:i/>
        </w:rPr>
        <w:t>Annual Pricing Review 2020-21</w:t>
      </w:r>
      <w:r>
        <w:t>.</w:t>
      </w:r>
    </w:p>
  </w:footnote>
  <w:footnote w:id="4">
    <w:p w14:paraId="4729392F" w14:textId="77777777" w:rsidR="000D6539" w:rsidRDefault="000D6539" w:rsidP="00AC5E2D">
      <w:pPr>
        <w:pStyle w:val="FootnoteText"/>
      </w:pPr>
      <w:r>
        <w:rPr>
          <w:rStyle w:val="FootnoteReference"/>
        </w:rPr>
        <w:footnoteRef/>
      </w:r>
      <w:r>
        <w:t xml:space="preserve"> </w:t>
      </w:r>
      <w:r>
        <w:tab/>
      </w:r>
      <w:hyperlink r:id="rId2" w:history="1">
        <w:r w:rsidRPr="00E419AE">
          <w:rPr>
            <w:rStyle w:val="Hyperlink"/>
          </w:rPr>
          <w:t>https://www.ndis.gov.au/media/1820/download</w:t>
        </w:r>
      </w:hyperlink>
      <w:r>
        <w:t xml:space="preserve"> </w:t>
      </w:r>
    </w:p>
  </w:footnote>
  <w:footnote w:id="5">
    <w:p w14:paraId="1383AD06" w14:textId="77777777" w:rsidR="000D6539" w:rsidRDefault="000D6539" w:rsidP="00AC5E2D">
      <w:pPr>
        <w:pStyle w:val="FootnoteText"/>
      </w:pPr>
      <w:r>
        <w:rPr>
          <w:rStyle w:val="FootnoteReference"/>
        </w:rPr>
        <w:footnoteRef/>
      </w:r>
      <w:r>
        <w:t xml:space="preserve"> </w:t>
      </w:r>
      <w:r>
        <w:tab/>
      </w:r>
      <w:hyperlink r:id="rId3" w:history="1">
        <w:r w:rsidRPr="00C4452F">
          <w:rPr>
            <w:rStyle w:val="Hyperlink"/>
          </w:rPr>
          <w:t>https://www.ndis.gov.au/media/2413/download</w:t>
        </w:r>
      </w:hyperlink>
      <w:r>
        <w:t xml:space="preserve"> </w:t>
      </w:r>
    </w:p>
  </w:footnote>
  <w:footnote w:id="6">
    <w:p w14:paraId="3D9176B4" w14:textId="77777777" w:rsidR="000D6539" w:rsidRDefault="000D6539" w:rsidP="007075DE">
      <w:pPr>
        <w:pStyle w:val="FootnoteText"/>
      </w:pPr>
      <w:r>
        <w:rPr>
          <w:rStyle w:val="FootnoteReference"/>
        </w:rPr>
        <w:footnoteRef/>
      </w:r>
      <w:r>
        <w:t xml:space="preserve"> </w:t>
      </w:r>
      <w:r>
        <w:tab/>
        <w:t xml:space="preserve">Fair Work Commission, </w:t>
      </w:r>
      <w:hyperlink r:id="rId4" w:history="1">
        <w:r w:rsidRPr="007075DE">
          <w:rPr>
            <w:rStyle w:val="Hyperlink"/>
            <w:i/>
          </w:rPr>
          <w:t>Social, Community, Home Care and Disability Services Industry Award 2010</w:t>
        </w:r>
        <w:r w:rsidRPr="007075DE">
          <w:rPr>
            <w:rStyle w:val="Hyperlink"/>
          </w:rPr>
          <w:t>,</w:t>
        </w:r>
      </w:hyperlink>
      <w:r>
        <w:t xml:space="preserve"> </w:t>
      </w:r>
      <w:r w:rsidRPr="007075DE">
        <w:t xml:space="preserve">incorporating all amendments up to and including </w:t>
      </w:r>
      <w:r>
        <w:t>30</w:t>
      </w:r>
      <w:r w:rsidRPr="007075DE">
        <w:t xml:space="preserve"> June 2020</w:t>
      </w:r>
      <w:r>
        <w:t>.</w:t>
      </w:r>
    </w:p>
  </w:footnote>
  <w:footnote w:id="7">
    <w:p w14:paraId="1083A1B9" w14:textId="77777777" w:rsidR="000D6539" w:rsidRDefault="000D6539" w:rsidP="00294FA5">
      <w:pPr>
        <w:pStyle w:val="FootnoteText"/>
      </w:pPr>
      <w:r>
        <w:rPr>
          <w:rStyle w:val="FootnoteReference"/>
        </w:rPr>
        <w:footnoteRef/>
      </w:r>
      <w:r>
        <w:t xml:space="preserve"> </w:t>
      </w:r>
      <w:r>
        <w:tab/>
      </w:r>
      <w:hyperlink r:id="rId5" w:history="1">
        <w:r w:rsidRPr="000F6F17">
          <w:rPr>
            <w:rStyle w:val="Hyperlink"/>
          </w:rPr>
          <w:t>https://www.fairwork.gov.au/ArticleDocuments/872/social-community-home-care-and-disability-services-industry-award-ma000100-pay-guide.pdf.aspx</w:t>
        </w:r>
      </w:hyperlink>
      <w:r>
        <w:t xml:space="preserve"> </w:t>
      </w:r>
    </w:p>
  </w:footnote>
  <w:footnote w:id="8">
    <w:p w14:paraId="24DFF0E1" w14:textId="77777777" w:rsidR="000D6539" w:rsidRDefault="000D6539">
      <w:pPr>
        <w:pStyle w:val="FootnoteText"/>
      </w:pPr>
      <w:r>
        <w:rPr>
          <w:rStyle w:val="FootnoteReference"/>
        </w:rPr>
        <w:footnoteRef/>
      </w:r>
      <w:r>
        <w:t xml:space="preserve"> </w:t>
      </w:r>
      <w:r>
        <w:tab/>
        <w:t xml:space="preserve">SCHADS Award: Clauses 10.4(b), 26 and 29.3. </w:t>
      </w:r>
    </w:p>
  </w:footnote>
  <w:footnote w:id="9">
    <w:p w14:paraId="3E28A3D5" w14:textId="77777777" w:rsidR="000D6539" w:rsidRDefault="000D6539">
      <w:pPr>
        <w:pStyle w:val="FootnoteText"/>
      </w:pPr>
      <w:r>
        <w:rPr>
          <w:rStyle w:val="FootnoteReference"/>
        </w:rPr>
        <w:footnoteRef/>
      </w:r>
      <w:r>
        <w:t xml:space="preserve"> </w:t>
      </w:r>
      <w:r>
        <w:tab/>
        <w:t>SCHADS Award: Clause 25.1.</w:t>
      </w:r>
    </w:p>
  </w:footnote>
  <w:footnote w:id="10">
    <w:p w14:paraId="3821EFC8" w14:textId="77777777" w:rsidR="000D6539" w:rsidRDefault="000D6539" w:rsidP="0014173A">
      <w:pPr>
        <w:pStyle w:val="FootnoteText"/>
      </w:pPr>
      <w:r>
        <w:rPr>
          <w:rStyle w:val="FootnoteReference"/>
        </w:rPr>
        <w:footnoteRef/>
      </w:r>
      <w:r>
        <w:t xml:space="preserve"> </w:t>
      </w:r>
      <w:r>
        <w:tab/>
        <w:t xml:space="preserve">The National Employment Standards govern leave and several other conditions in Awards, and also may not be reduced by EBAs. </w:t>
      </w:r>
      <w:hyperlink r:id="rId6" w:history="1">
        <w:r w:rsidRPr="00E419AE">
          <w:rPr>
            <w:rStyle w:val="Hyperlink"/>
          </w:rPr>
          <w:t>https://www.fairwork.gov.au/employee-entitlements/national-employment-standards</w:t>
        </w:r>
      </w:hyperlink>
      <w:r>
        <w:t xml:space="preserve"> </w:t>
      </w:r>
    </w:p>
  </w:footnote>
  <w:footnote w:id="11">
    <w:p w14:paraId="08F8977D" w14:textId="77777777" w:rsidR="000D6539" w:rsidRPr="00B37370" w:rsidRDefault="000D6539" w:rsidP="00AF55F4">
      <w:pPr>
        <w:pStyle w:val="FootnoteText"/>
      </w:pPr>
      <w:r>
        <w:rPr>
          <w:rStyle w:val="FootnoteReference"/>
        </w:rPr>
        <w:footnoteRef/>
      </w:r>
      <w:r>
        <w:t xml:space="preserve"> </w:t>
      </w:r>
      <w:r>
        <w:tab/>
      </w:r>
      <w:hyperlink r:id="rId7" w:history="1">
        <w:r w:rsidRPr="00E419AE">
          <w:rPr>
            <w:rStyle w:val="Hyperlink"/>
          </w:rPr>
          <w:t>https://www.fairwork.gov.au/leave/annual-leave</w:t>
        </w:r>
      </w:hyperlink>
    </w:p>
  </w:footnote>
  <w:footnote w:id="12">
    <w:p w14:paraId="43D842FE" w14:textId="77777777" w:rsidR="000D6539" w:rsidRDefault="000D6539" w:rsidP="00FF51FC">
      <w:pPr>
        <w:pStyle w:val="FootnoteText"/>
      </w:pPr>
      <w:r>
        <w:rPr>
          <w:rStyle w:val="FootnoteReference"/>
        </w:rPr>
        <w:footnoteRef/>
      </w:r>
      <w:r>
        <w:t xml:space="preserve"> </w:t>
      </w:r>
      <w:r>
        <w:tab/>
      </w:r>
      <w:hyperlink r:id="rId8" w:history="1">
        <w:r w:rsidRPr="00E419AE">
          <w:rPr>
            <w:rStyle w:val="Hyperlink"/>
          </w:rPr>
          <w:t>https://www.fairwork.gov.au/leave/public-holidays</w:t>
        </w:r>
      </w:hyperlink>
      <w:r>
        <w:t xml:space="preserve"> </w:t>
      </w:r>
    </w:p>
    <w:p w14:paraId="5A8EE709" w14:textId="77777777" w:rsidR="000D6539" w:rsidRDefault="000D6539" w:rsidP="006B0D9B">
      <w:pPr>
        <w:pStyle w:val="FootnoteText"/>
        <w:ind w:firstLine="0"/>
      </w:pPr>
      <w:r>
        <w:t>Note: The Agency recognises that there are more than 10 public holidays in each year, and that the number of public holidays varies by jurisdiction. However, some public holidays occur on weekends and it is unlikely that any worker in their ordinary working hours would be rostered to have worked on more than 10 public holidays.</w:t>
      </w:r>
    </w:p>
  </w:footnote>
  <w:footnote w:id="13">
    <w:p w14:paraId="3742192A" w14:textId="77777777" w:rsidR="000D6539" w:rsidRDefault="000D6539" w:rsidP="00FF51FC">
      <w:pPr>
        <w:pStyle w:val="FootnoteText"/>
      </w:pPr>
      <w:r>
        <w:rPr>
          <w:rStyle w:val="FootnoteReference"/>
        </w:rPr>
        <w:footnoteRef/>
      </w:r>
      <w:r>
        <w:t xml:space="preserve"> </w:t>
      </w:r>
      <w:r>
        <w:tab/>
      </w:r>
      <w:hyperlink r:id="rId9" w:history="1">
        <w:r w:rsidRPr="00D842C6">
          <w:rPr>
            <w:rStyle w:val="Hyperlink"/>
          </w:rPr>
          <w:t>https://www.fairwork.gov.au/leave/sick-and-carers-leave/paid-sick-and-carers-leave</w:t>
        </w:r>
      </w:hyperlink>
      <w:r>
        <w:t xml:space="preserve"> </w:t>
      </w:r>
    </w:p>
    <w:p w14:paraId="7DCC3260" w14:textId="77777777" w:rsidR="000D6539" w:rsidRPr="00AF55F4" w:rsidRDefault="000D6539" w:rsidP="006B0D9B">
      <w:pPr>
        <w:pStyle w:val="FootnoteText"/>
        <w:ind w:firstLine="0"/>
        <w:rPr>
          <w:color w:val="0000FF" w:themeColor="hyperlink"/>
          <w:u w:val="single"/>
        </w:rPr>
      </w:pPr>
      <w:r>
        <w:t xml:space="preserve">Note: The Cost Model slightly overestimates provider’s cost with respect to this parameter as it assumes all workers utilise all of their personal leave entitlement each year even though some workers may not use their entitlement. </w:t>
      </w:r>
    </w:p>
  </w:footnote>
  <w:footnote w:id="14">
    <w:p w14:paraId="1DB59014" w14:textId="77777777" w:rsidR="000D6539" w:rsidRDefault="000D6539">
      <w:pPr>
        <w:pStyle w:val="FootnoteText"/>
      </w:pPr>
      <w:r>
        <w:rPr>
          <w:rStyle w:val="FootnoteReference"/>
        </w:rPr>
        <w:footnoteRef/>
      </w:r>
      <w:r>
        <w:t xml:space="preserve"> </w:t>
      </w:r>
      <w:r>
        <w:tab/>
      </w:r>
      <w:hyperlink r:id="rId10" w:history="1">
        <w:r w:rsidRPr="00E419AE">
          <w:rPr>
            <w:rStyle w:val="Hyperlink"/>
          </w:rPr>
          <w:t>https://www.fairwork.gov.au/leave/long-service-leave</w:t>
        </w:r>
      </w:hyperlink>
      <w:r>
        <w:t xml:space="preserve"> </w:t>
      </w:r>
    </w:p>
    <w:p w14:paraId="596504D7" w14:textId="77777777" w:rsidR="000D6539" w:rsidRDefault="000D6539" w:rsidP="006B0D9B">
      <w:pPr>
        <w:pStyle w:val="FootnoteText"/>
        <w:ind w:firstLine="0"/>
      </w:pPr>
      <w:r>
        <w:t>Note: The Cost Model overestimates provider’s cost with respect to this parameter as it assumes all permanent workers and casual workers qualify for LSL accruals and that all workers will eventually access their long service leave entitlemen</w:t>
      </w:r>
      <w:r w:rsidRPr="008802C0">
        <w:t>t</w:t>
      </w:r>
      <w:r>
        <w:t>. This reflects the rollout of portable long service leave schemes in some jurisdictions.</w:t>
      </w:r>
    </w:p>
  </w:footnote>
  <w:footnote w:id="15">
    <w:p w14:paraId="13778114" w14:textId="77777777" w:rsidR="000D6539" w:rsidRDefault="000D6539" w:rsidP="0036394E">
      <w:pPr>
        <w:pStyle w:val="FootnoteText"/>
      </w:pPr>
      <w:r>
        <w:rPr>
          <w:rStyle w:val="FootnoteReference"/>
        </w:rPr>
        <w:footnoteRef/>
      </w:r>
      <w:r>
        <w:t xml:space="preserve"> </w:t>
      </w:r>
      <w:r>
        <w:tab/>
        <w:t>SCHADS Award: Clause 31.3</w:t>
      </w:r>
    </w:p>
  </w:footnote>
  <w:footnote w:id="16">
    <w:p w14:paraId="6A9F8EFD" w14:textId="77777777" w:rsidR="000D6539" w:rsidRDefault="000D6539">
      <w:pPr>
        <w:pStyle w:val="FootnoteText"/>
      </w:pPr>
      <w:r>
        <w:rPr>
          <w:rStyle w:val="FootnoteReference"/>
        </w:rPr>
        <w:footnoteRef/>
      </w:r>
      <w:r>
        <w:t xml:space="preserve"> </w:t>
      </w:r>
      <w:r>
        <w:tab/>
      </w:r>
      <w:hyperlink r:id="rId11" w:history="1">
        <w:r w:rsidRPr="000F6F17">
          <w:rPr>
            <w:rStyle w:val="Hyperlink"/>
          </w:rPr>
          <w:t>https://www.ato.gov.au/Business/Super-for-employers/How-much-to-pay/</w:t>
        </w:r>
      </w:hyperlink>
      <w:r>
        <w:t xml:space="preserve"> </w:t>
      </w:r>
    </w:p>
  </w:footnote>
  <w:footnote w:id="17">
    <w:p w14:paraId="063D7EFE" w14:textId="77777777" w:rsidR="000D6539" w:rsidRDefault="000D6539">
      <w:pPr>
        <w:pStyle w:val="FootnoteText"/>
      </w:pPr>
      <w:r>
        <w:rPr>
          <w:rStyle w:val="FootnoteReference"/>
        </w:rPr>
        <w:footnoteRef/>
      </w:r>
      <w:r>
        <w:t xml:space="preserve"> </w:t>
      </w:r>
      <w:r>
        <w:tab/>
        <w:t xml:space="preserve">The </w:t>
      </w:r>
      <w:r w:rsidRPr="0086773C">
        <w:rPr>
          <w:i/>
        </w:rPr>
        <w:t>Annual Pricing Review 2020-21</w:t>
      </w:r>
      <w:r>
        <w:t xml:space="preserve"> (page 54) found that, </w:t>
      </w:r>
      <w:r w:rsidRPr="0086773C">
        <w:t>aver</w:t>
      </w:r>
      <w:r>
        <w:t xml:space="preserve">aged over 2010-11 to 2014-15, </w:t>
      </w:r>
      <w:r w:rsidRPr="0086773C">
        <w:t xml:space="preserve">the standardised </w:t>
      </w:r>
      <w:r>
        <w:t xml:space="preserve">Australian </w:t>
      </w:r>
      <w:r w:rsidRPr="0086773C">
        <w:t xml:space="preserve">average </w:t>
      </w:r>
      <w:r>
        <w:t xml:space="preserve">workers compensation </w:t>
      </w:r>
      <w:r w:rsidRPr="0086773C">
        <w:t xml:space="preserve">premium rate </w:t>
      </w:r>
      <w:r>
        <w:t>was</w:t>
      </w:r>
      <w:r w:rsidRPr="0086773C">
        <w:t xml:space="preserve"> 1.5% </w:t>
      </w:r>
      <w:r>
        <w:t xml:space="preserve">for </w:t>
      </w:r>
      <w:r w:rsidRPr="0086773C">
        <w:t xml:space="preserve">all industries </w:t>
      </w:r>
      <w:r>
        <w:t xml:space="preserve">and 1.7% </w:t>
      </w:r>
      <w:r w:rsidRPr="0086773C">
        <w:t>for the Health and Community Services sector</w:t>
      </w:r>
      <w:r>
        <w:t>.</w:t>
      </w:r>
      <w:r w:rsidRPr="0086773C">
        <w:t xml:space="preserve"> The </w:t>
      </w:r>
      <w:r>
        <w:t xml:space="preserve">Benchmarking Study undertaken as part of the Annual Pricing Review 2020-21 </w:t>
      </w:r>
      <w:r w:rsidRPr="0086773C">
        <w:t xml:space="preserve">found that the average workers compensation premium among respondents </w:t>
      </w:r>
      <w:r>
        <w:t xml:space="preserve">in the disability sector </w:t>
      </w:r>
      <w:r w:rsidRPr="0086773C">
        <w:t>was 2.6%, with a median of 2.3% and a 25</w:t>
      </w:r>
      <w:r w:rsidRPr="0086773C">
        <w:rPr>
          <w:vertAlign w:val="superscript"/>
        </w:rPr>
        <w:t>th</w:t>
      </w:r>
      <w:r>
        <w:t xml:space="preserve"> </w:t>
      </w:r>
      <w:r w:rsidRPr="0086773C">
        <w:t>percentile of 1.7%.</w:t>
      </w:r>
      <w:r>
        <w:t xml:space="preserve"> In line with the </w:t>
      </w:r>
      <w:r w:rsidRPr="0086773C">
        <w:rPr>
          <w:i/>
        </w:rPr>
        <w:t>NDIS Pricing Strategy</w:t>
      </w:r>
      <w:r>
        <w:t>, this Cost Model parameter has been set at the level achieved by efficient (25</w:t>
      </w:r>
      <w:r w:rsidRPr="00711713">
        <w:rPr>
          <w:vertAlign w:val="superscript"/>
        </w:rPr>
        <w:t>th</w:t>
      </w:r>
      <w:r>
        <w:t xml:space="preserve"> percentile) providers.</w:t>
      </w:r>
    </w:p>
  </w:footnote>
  <w:footnote w:id="18">
    <w:p w14:paraId="003D8C27" w14:textId="77777777" w:rsidR="000D6539" w:rsidRDefault="000D6539" w:rsidP="009C2D82">
      <w:pPr>
        <w:pStyle w:val="FootnoteText"/>
      </w:pPr>
      <w:r>
        <w:rPr>
          <w:rStyle w:val="FootnoteReference"/>
        </w:rPr>
        <w:footnoteRef/>
      </w:r>
      <w:r>
        <w:t xml:space="preserve"> </w:t>
      </w:r>
      <w:r>
        <w:tab/>
        <w:t xml:space="preserve">The </w:t>
      </w:r>
      <w:r w:rsidRPr="0086773C">
        <w:rPr>
          <w:i/>
        </w:rPr>
        <w:t>Annual Pricing Review 2020-21</w:t>
      </w:r>
      <w:r>
        <w:t xml:space="preserve"> (page 57) found that </w:t>
      </w:r>
      <w:r w:rsidRPr="00B67AC3">
        <w:t xml:space="preserve">allowances </w:t>
      </w:r>
      <w:r>
        <w:t>in the sector were</w:t>
      </w:r>
      <w:r w:rsidRPr="00B67AC3">
        <w:t xml:space="preserve"> typically in the order of 1.0% of the base salary payable to the worker.</w:t>
      </w:r>
    </w:p>
  </w:footnote>
  <w:footnote w:id="19">
    <w:p w14:paraId="54365848" w14:textId="77777777" w:rsidR="000D6539" w:rsidRDefault="000D6539" w:rsidP="00711713">
      <w:pPr>
        <w:pStyle w:val="FootnoteText"/>
      </w:pPr>
      <w:r>
        <w:rPr>
          <w:rStyle w:val="FootnoteReference"/>
        </w:rPr>
        <w:footnoteRef/>
      </w:r>
      <w:r>
        <w:t xml:space="preserve"> </w:t>
      </w:r>
      <w:r>
        <w:tab/>
      </w:r>
      <w:r w:rsidRPr="0086773C">
        <w:t xml:space="preserve">The </w:t>
      </w:r>
      <w:r>
        <w:t xml:space="preserve">Benchmarking Study undertaken as part of the </w:t>
      </w:r>
      <w:r w:rsidRPr="00711713">
        <w:rPr>
          <w:i/>
        </w:rPr>
        <w:t>Annual Pricing Review 2020-21</w:t>
      </w:r>
      <w:r>
        <w:t xml:space="preserve"> (page 52) </w:t>
      </w:r>
      <w:r w:rsidRPr="0086773C">
        <w:t xml:space="preserve">found that the average </w:t>
      </w:r>
      <w:r>
        <w:t>span of control</w:t>
      </w:r>
      <w:r w:rsidRPr="0086773C">
        <w:t xml:space="preserve"> among respondents </w:t>
      </w:r>
      <w:r>
        <w:t xml:space="preserve">in the disability sector </w:t>
      </w:r>
      <w:r w:rsidRPr="0086773C">
        <w:t xml:space="preserve">was </w:t>
      </w:r>
      <w:r>
        <w:t>11.8:1 with</w:t>
      </w:r>
      <w:r w:rsidRPr="0086773C">
        <w:t xml:space="preserve"> a 25</w:t>
      </w:r>
      <w:r w:rsidRPr="0086773C">
        <w:rPr>
          <w:vertAlign w:val="superscript"/>
        </w:rPr>
        <w:t>th</w:t>
      </w:r>
      <w:r>
        <w:t xml:space="preserve"> percentile of 15:1. In line with the </w:t>
      </w:r>
      <w:r w:rsidRPr="0086773C">
        <w:rPr>
          <w:i/>
        </w:rPr>
        <w:t>NDIS Pricing Strategy</w:t>
      </w:r>
      <w:r>
        <w:t>, this Cost Model parameter has been set at the level achieved by efficient (25</w:t>
      </w:r>
      <w:r w:rsidRPr="00711713">
        <w:rPr>
          <w:vertAlign w:val="superscript"/>
        </w:rPr>
        <w:t>th</w:t>
      </w:r>
      <w:r>
        <w:t xml:space="preserve"> percentile) providers.</w:t>
      </w:r>
    </w:p>
  </w:footnote>
  <w:footnote w:id="20">
    <w:p w14:paraId="43E5B120" w14:textId="77777777" w:rsidR="000D6539" w:rsidRDefault="000D6539">
      <w:pPr>
        <w:pStyle w:val="FootnoteText"/>
      </w:pPr>
      <w:r>
        <w:rPr>
          <w:rStyle w:val="FootnoteReference"/>
        </w:rPr>
        <w:footnoteRef/>
      </w:r>
      <w:r>
        <w:t xml:space="preserve"> </w:t>
      </w:r>
      <w:r>
        <w:tab/>
      </w:r>
      <w:r w:rsidRPr="0086773C">
        <w:t xml:space="preserve">The </w:t>
      </w:r>
      <w:r>
        <w:t xml:space="preserve">Benchmarking Study undertaken as part of the </w:t>
      </w:r>
      <w:r w:rsidRPr="00711713">
        <w:rPr>
          <w:i/>
        </w:rPr>
        <w:t>Annual Pricing Review 2020-21</w:t>
      </w:r>
      <w:r>
        <w:t xml:space="preserve"> (page 52) </w:t>
      </w:r>
      <w:r w:rsidRPr="0086773C">
        <w:t xml:space="preserve">found that the average </w:t>
      </w:r>
      <w:r>
        <w:t xml:space="preserve">casual employment share </w:t>
      </w:r>
      <w:r w:rsidRPr="0086773C">
        <w:t xml:space="preserve">among respondents </w:t>
      </w:r>
      <w:r>
        <w:t xml:space="preserve">in the disability sector </w:t>
      </w:r>
      <w:r w:rsidRPr="0086773C">
        <w:t xml:space="preserve">was </w:t>
      </w:r>
      <w:r>
        <w:t>43.8% with</w:t>
      </w:r>
      <w:r w:rsidRPr="0086773C">
        <w:t xml:space="preserve"> a 25</w:t>
      </w:r>
      <w:r w:rsidRPr="0086773C">
        <w:rPr>
          <w:vertAlign w:val="superscript"/>
        </w:rPr>
        <w:t>th</w:t>
      </w:r>
      <w:r>
        <w:t xml:space="preserve"> percentile of 71.7%. In line with the </w:t>
      </w:r>
      <w:r w:rsidRPr="0086773C">
        <w:rPr>
          <w:i/>
        </w:rPr>
        <w:t>NDIS Pricing Strategy</w:t>
      </w:r>
      <w:r>
        <w:t>, this Cost Model parameter has been set at the level achieved by efficient (25</w:t>
      </w:r>
      <w:r w:rsidRPr="00711713">
        <w:rPr>
          <w:vertAlign w:val="superscript"/>
        </w:rPr>
        <w:t>th</w:t>
      </w:r>
      <w:r>
        <w:t xml:space="preserve"> percentile) providers.</w:t>
      </w:r>
    </w:p>
  </w:footnote>
  <w:footnote w:id="21">
    <w:p w14:paraId="5DC90139" w14:textId="77777777" w:rsidR="000D6539" w:rsidRDefault="000D6539" w:rsidP="0075493A">
      <w:pPr>
        <w:pStyle w:val="FootnoteText"/>
      </w:pPr>
      <w:r>
        <w:rPr>
          <w:rStyle w:val="FootnoteReference"/>
        </w:rPr>
        <w:footnoteRef/>
      </w:r>
      <w:r>
        <w:t xml:space="preserve"> </w:t>
      </w:r>
      <w:r>
        <w:tab/>
      </w:r>
      <w:r w:rsidRPr="0086773C">
        <w:t xml:space="preserve">The </w:t>
      </w:r>
      <w:r>
        <w:t xml:space="preserve">Benchmarking Study undertaken as part of the </w:t>
      </w:r>
      <w:r w:rsidRPr="00711713">
        <w:rPr>
          <w:i/>
        </w:rPr>
        <w:t>Annual Pricing Review 2020-21</w:t>
      </w:r>
      <w:r>
        <w:t xml:space="preserve"> (page 52) </w:t>
      </w:r>
      <w:r w:rsidRPr="0086773C">
        <w:t xml:space="preserve">found that the average </w:t>
      </w:r>
      <w:r>
        <w:t xml:space="preserve">utilisation </w:t>
      </w:r>
      <w:r w:rsidRPr="0086773C">
        <w:t xml:space="preserve">among respondents </w:t>
      </w:r>
      <w:r>
        <w:t xml:space="preserve">in the disability sector </w:t>
      </w:r>
      <w:r w:rsidRPr="0086773C">
        <w:t xml:space="preserve">was </w:t>
      </w:r>
      <w:r>
        <w:t>79.8% with</w:t>
      </w:r>
      <w:r w:rsidRPr="0086773C">
        <w:t xml:space="preserve"> a 25</w:t>
      </w:r>
      <w:r w:rsidRPr="0086773C">
        <w:rPr>
          <w:vertAlign w:val="superscript"/>
        </w:rPr>
        <w:t>th</w:t>
      </w:r>
      <w:r>
        <w:t xml:space="preserve"> percentile of 90.0%. In line with the </w:t>
      </w:r>
      <w:r w:rsidRPr="0086773C">
        <w:rPr>
          <w:i/>
        </w:rPr>
        <w:t>NDIS Pricing Strategy</w:t>
      </w:r>
      <w:r>
        <w:t>, this Cost Model parameter has been set at the level achieved by efficient (25</w:t>
      </w:r>
      <w:r w:rsidRPr="00711713">
        <w:rPr>
          <w:vertAlign w:val="superscript"/>
        </w:rPr>
        <w:t>th</w:t>
      </w:r>
      <w:r>
        <w:t xml:space="preserve"> percentile) providers.</w:t>
      </w:r>
    </w:p>
    <w:p w14:paraId="0340D76E" w14:textId="3E2A444C" w:rsidR="000D6539" w:rsidRDefault="000D6539" w:rsidP="00B76B55">
      <w:pPr>
        <w:pStyle w:val="FootnoteText"/>
        <w:ind w:firstLine="0"/>
      </w:pPr>
      <w:r>
        <w:t>Because the Benchmarking Study did not disaggregate its results between DSWs 1, 2 and 3 the efficient utilisation rates have been estimated for each DSW Level around the sector wide 25</w:t>
      </w:r>
      <w:r w:rsidRPr="00B76B55">
        <w:rPr>
          <w:vertAlign w:val="superscript"/>
        </w:rPr>
        <w:t>th</w:t>
      </w:r>
      <w:r>
        <w:t xml:space="preserve"> percentile with the utilisation rate decreasing slightly with the seniority of the worker.</w:t>
      </w:r>
    </w:p>
    <w:p w14:paraId="699543C4" w14:textId="77777777" w:rsidR="000D6539" w:rsidRDefault="000D6539" w:rsidP="00B76B55">
      <w:pPr>
        <w:pStyle w:val="FootnoteText"/>
        <w:ind w:firstLine="0"/>
      </w:pPr>
      <w:r>
        <w:t>The utilisation rate for DSW 4s was set after</w:t>
      </w:r>
      <w:r w:rsidRPr="00E302D9">
        <w:t xml:space="preserve"> consultations with providers who were currently employing workers in the role of a psychosocial recovery coach. These providers indicated that these staff were appropriately classified at the SCHADS pay point 4.4. They also indicated that workers who supported participants with psychosocial disabilities often needed to debrief and be supported at the end of their shifts to support their own mental well-being, which lowered their own and their supervisors’ utilisation rates.</w:t>
      </w:r>
    </w:p>
  </w:footnote>
  <w:footnote w:id="22">
    <w:p w14:paraId="1E55A7E0" w14:textId="77777777" w:rsidR="000D6539" w:rsidRDefault="000D6539">
      <w:pPr>
        <w:pStyle w:val="FootnoteText"/>
      </w:pPr>
      <w:r>
        <w:rPr>
          <w:rStyle w:val="FootnoteReference"/>
        </w:rPr>
        <w:footnoteRef/>
      </w:r>
      <w:r>
        <w:t xml:space="preserve"> </w:t>
      </w:r>
      <w:r>
        <w:tab/>
        <w:t xml:space="preserve">The </w:t>
      </w:r>
      <w:r w:rsidRPr="00711713">
        <w:rPr>
          <w:i/>
        </w:rPr>
        <w:t>Annual Pricing Review 2020-21</w:t>
      </w:r>
      <w:r>
        <w:t xml:space="preserve"> (page 58) found that the o</w:t>
      </w:r>
      <w:r w:rsidRPr="00B67AC3">
        <w:t xml:space="preserve">verheads percentage </w:t>
      </w:r>
      <w:r>
        <w:t xml:space="preserve">should be increased </w:t>
      </w:r>
      <w:r w:rsidRPr="00B67AC3">
        <w:t xml:space="preserve">to 12.0% to better align with the estimated overheads of efficient providers in the sector, </w:t>
      </w:r>
      <w:r>
        <w:t xml:space="preserve">as observed in the Benchmarking Study adjusted for that survey’s unrepresentativeness and </w:t>
      </w:r>
      <w:r w:rsidRPr="00B67AC3">
        <w:t xml:space="preserve">that other recommendations being made by the Review </w:t>
      </w:r>
      <w:r>
        <w:t>would</w:t>
      </w:r>
      <w:r w:rsidRPr="00B67AC3">
        <w:t xml:space="preserve"> directly address some of the costs that providers are currently carrying in their overheads</w:t>
      </w:r>
    </w:p>
  </w:footnote>
  <w:footnote w:id="23">
    <w:p w14:paraId="5715F58B" w14:textId="77777777" w:rsidR="000D6539" w:rsidRDefault="000D6539" w:rsidP="00AC5E2D">
      <w:pPr>
        <w:pStyle w:val="FootnoteText"/>
      </w:pPr>
      <w:r>
        <w:rPr>
          <w:rStyle w:val="FootnoteReference"/>
        </w:rPr>
        <w:footnoteRef/>
      </w:r>
      <w:r>
        <w:t xml:space="preserve"> </w:t>
      </w:r>
      <w:r>
        <w:tab/>
      </w:r>
      <w:hyperlink r:id="rId12" w:anchor="ndis-price-guide-2020-21-effective-1-july-2020" w:history="1">
        <w:r w:rsidRPr="0075571F">
          <w:rPr>
            <w:rStyle w:val="Hyperlink"/>
          </w:rPr>
          <w:t>https://www.ndis.gov.au/providers/price-guides-and-pricing#ndis-price-guide-2020-21-effective-1-july-2020</w:t>
        </w:r>
      </w:hyperlink>
      <w:r>
        <w:t xml:space="preserve"> </w:t>
      </w:r>
    </w:p>
  </w:footnote>
  <w:footnote w:id="24">
    <w:p w14:paraId="0079C60B" w14:textId="77777777" w:rsidR="000D6539" w:rsidRDefault="000D6539" w:rsidP="00D54BD6">
      <w:pPr>
        <w:pStyle w:val="FootnoteText"/>
      </w:pPr>
      <w:r>
        <w:rPr>
          <w:rStyle w:val="FootnoteReference"/>
        </w:rPr>
        <w:footnoteRef/>
      </w:r>
      <w:r>
        <w:t xml:space="preserve"> </w:t>
      </w:r>
      <w:r>
        <w:tab/>
      </w:r>
      <w:hyperlink r:id="rId13" w:history="1">
        <w:r w:rsidRPr="006D1E12">
          <w:rPr>
            <w:rStyle w:val="Hyperlink"/>
          </w:rPr>
          <w:t>https://www.fairwork.gov.au/pay/minimum-wages/social-and-community-services-industry-pay-rates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031B" w14:textId="570B3CDD" w:rsidR="000D6539" w:rsidRDefault="000D6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CDC7F" w14:textId="652ADAFA" w:rsidR="000D6539" w:rsidRDefault="000D6539">
    <w:pPr>
      <w:pStyle w:val="Header"/>
    </w:pPr>
    <w:r>
      <w:t>National Disability Insurance Scheme – Disability Support Worker Cost Model 2020-21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82BC4" w14:textId="5E0A9537" w:rsidR="000D6539" w:rsidRDefault="000D6539" w:rsidP="00EC73B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4E8"/>
    <w:multiLevelType w:val="hybridMultilevel"/>
    <w:tmpl w:val="8A184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9C1387"/>
    <w:multiLevelType w:val="hybridMultilevel"/>
    <w:tmpl w:val="C7B03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1109BD"/>
    <w:multiLevelType w:val="hybridMultilevel"/>
    <w:tmpl w:val="66F06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81387B"/>
    <w:multiLevelType w:val="multilevel"/>
    <w:tmpl w:val="FE664146"/>
    <w:lvl w:ilvl="0">
      <w:start w:val="1"/>
      <w:numFmt w:val="decimal"/>
      <w:lvlText w:val="%1"/>
      <w:lvlJc w:val="left"/>
      <w:pPr>
        <w:ind w:left="567" w:hanging="567"/>
      </w:pPr>
      <w:rPr>
        <w:rFonts w:hint="default"/>
        <w:color w:val="6A2875"/>
      </w:rPr>
    </w:lvl>
    <w:lvl w:ilvl="1">
      <w:start w:val="1"/>
      <w:numFmt w:val="decimal"/>
      <w:lvlText w:val="%1.%2"/>
      <w:lvlJc w:val="left"/>
      <w:pPr>
        <w:ind w:left="2703"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Restart w:val="0"/>
      <w:pStyle w:val="Heading5"/>
      <w:suff w:val="space"/>
      <w:lvlText w:val="Recommendation %5 – "/>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0E73026B"/>
    <w:multiLevelType w:val="hybridMultilevel"/>
    <w:tmpl w:val="2BC2FF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EA052D"/>
    <w:multiLevelType w:val="hybridMultilevel"/>
    <w:tmpl w:val="A2C00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3146B2"/>
    <w:multiLevelType w:val="hybridMultilevel"/>
    <w:tmpl w:val="9E549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C6197"/>
    <w:multiLevelType w:val="hybridMultilevel"/>
    <w:tmpl w:val="6534F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44446E"/>
    <w:multiLevelType w:val="hybridMultilevel"/>
    <w:tmpl w:val="2DCA1E80"/>
    <w:lvl w:ilvl="0" w:tplc="E9A01C76">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3285F4A"/>
    <w:multiLevelType w:val="hybridMultilevel"/>
    <w:tmpl w:val="E2E2A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E665D1"/>
    <w:multiLevelType w:val="hybridMultilevel"/>
    <w:tmpl w:val="A5D4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F46F46"/>
    <w:multiLevelType w:val="multilevel"/>
    <w:tmpl w:val="08AAD0F8"/>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b w:val="0"/>
        <w:i w:val="0"/>
        <w:color w:val="auto"/>
      </w:rPr>
    </w:lvl>
    <w:lvl w:ilvl="2">
      <w:start w:val="1"/>
      <w:numFmt w:val="lowerLetter"/>
      <w:lvlText w:val="(%3)"/>
      <w:lvlJc w:val="left"/>
      <w:pPr>
        <w:ind w:left="851" w:hanging="426"/>
      </w:pPr>
      <w:rPr>
        <w:rFonts w:hint="default"/>
        <w:b w:val="0"/>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5" w15:restartNumberingAfterBreak="0">
    <w:nsid w:val="2B4E074C"/>
    <w:multiLevelType w:val="hybridMultilevel"/>
    <w:tmpl w:val="1D18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291239"/>
    <w:multiLevelType w:val="hybridMultilevel"/>
    <w:tmpl w:val="C62AC0AE"/>
    <w:lvl w:ilvl="0" w:tplc="A776DF44">
      <w:start w:val="1"/>
      <w:numFmt w:val="bullet"/>
      <w:pStyle w:val="ListParagraph"/>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7A4C59DE">
      <w:numFmt w:val="bullet"/>
      <w:lvlText w:val="•"/>
      <w:lvlJc w:val="left"/>
      <w:pPr>
        <w:ind w:left="2520" w:hanging="720"/>
      </w:pPr>
      <w:rPr>
        <w:rFonts w:ascii="Arial" w:eastAsiaTheme="minorHAnsi"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0B02A2"/>
    <w:multiLevelType w:val="multilevel"/>
    <w:tmpl w:val="D7BABA64"/>
    <w:lvl w:ilvl="0">
      <w:start w:val="1"/>
      <w:numFmt w:val="decimal"/>
      <w:lvlText w:val="%1)"/>
      <w:lvlJc w:val="left"/>
      <w:pPr>
        <w:ind w:left="1134"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203662"/>
    <w:multiLevelType w:val="hybridMultilevel"/>
    <w:tmpl w:val="D242A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AD01D2"/>
    <w:multiLevelType w:val="multilevel"/>
    <w:tmpl w:val="D2C20364"/>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247" w:hanging="1247"/>
      </w:pPr>
      <w:rPr>
        <w:rFonts w:hint="default"/>
      </w:rPr>
    </w:lvl>
    <w:lvl w:ilvl="6">
      <w:start w:val="1"/>
      <w:numFmt w:val="decimal"/>
      <w:lvlRestart w:val="1"/>
      <w:pStyle w:val="CaptionTable"/>
      <w:suff w:val="nothing"/>
      <w:lvlText w:val="Table %1.%7"/>
      <w:lvlJc w:val="left"/>
      <w:pPr>
        <w:ind w:left="0" w:firstLine="0"/>
      </w:pPr>
      <w:rPr>
        <w:rFonts w:hint="default"/>
      </w:rPr>
    </w:lvl>
    <w:lvl w:ilvl="7">
      <w:start w:val="1"/>
      <w:numFmt w:val="decimal"/>
      <w:lvlRestart w:val="1"/>
      <w:pStyle w:val="CaptionChart"/>
      <w:suff w:val="nothing"/>
      <w:lvlText w:val="Chart %1.%8"/>
      <w:lvlJc w:val="left"/>
      <w:pPr>
        <w:ind w:left="0" w:firstLine="0"/>
      </w:pPr>
      <w:rPr>
        <w:rFonts w:hint="default"/>
      </w:rPr>
    </w:lvl>
    <w:lvl w:ilvl="8">
      <w:start w:val="1"/>
      <w:numFmt w:val="decimal"/>
      <w:lvlRestart w:val="1"/>
      <w:pStyle w:val="CaptionFigure"/>
      <w:suff w:val="nothing"/>
      <w:lvlText w:val="Figure %1.%9"/>
      <w:lvlJc w:val="left"/>
      <w:pPr>
        <w:ind w:left="0" w:firstLine="0"/>
      </w:pPr>
      <w:rPr>
        <w:rFonts w:hint="default"/>
      </w:rPr>
    </w:lvl>
  </w:abstractNum>
  <w:abstractNum w:abstractNumId="20" w15:restartNumberingAfterBreak="0">
    <w:nsid w:val="41872258"/>
    <w:multiLevelType w:val="hybridMultilevel"/>
    <w:tmpl w:val="99363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8C32DC"/>
    <w:multiLevelType w:val="hybridMultilevel"/>
    <w:tmpl w:val="8FCE6A58"/>
    <w:lvl w:ilvl="0" w:tplc="0C09000F">
      <w:start w:val="1"/>
      <w:numFmt w:val="decimal"/>
      <w:lvlText w:val="%1."/>
      <w:lvlJc w:val="left"/>
      <w:pPr>
        <w:ind w:left="720" w:hanging="360"/>
      </w:pPr>
      <w:rPr>
        <w:rFonts w:hint="default"/>
        <w:b/>
        <w:color w:val="6B2976" w:themeColor="accent4"/>
        <w:sz w:val="26"/>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E42705"/>
    <w:multiLevelType w:val="hybridMultilevel"/>
    <w:tmpl w:val="028E7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0A27B8"/>
    <w:multiLevelType w:val="hybridMultilevel"/>
    <w:tmpl w:val="F3A6D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26B6B47"/>
    <w:multiLevelType w:val="hybridMultilevel"/>
    <w:tmpl w:val="8EA28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42104"/>
    <w:multiLevelType w:val="hybridMultilevel"/>
    <w:tmpl w:val="77962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A3768A"/>
    <w:multiLevelType w:val="multilevel"/>
    <w:tmpl w:val="8A7E8CD4"/>
    <w:styleLink w:val="Style1"/>
    <w:lvl w:ilvl="0">
      <w:start w:val="1"/>
      <w:numFmt w:val="decimal"/>
      <w:suff w:val="space"/>
      <w:lvlText w:val="Recommendation %1 – "/>
      <w:lvlJc w:val="left"/>
      <w:pPr>
        <w:ind w:left="0" w:firstLine="0"/>
      </w:pPr>
      <w:rPr>
        <w:rFonts w:hint="default"/>
        <w:b/>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abstractNum w:abstractNumId="28"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C20946"/>
    <w:multiLevelType w:val="multilevel"/>
    <w:tmpl w:val="D7BABA64"/>
    <w:lvl w:ilvl="0">
      <w:start w:val="1"/>
      <w:numFmt w:val="decimal"/>
      <w:lvlText w:val="%1)"/>
      <w:lvlJc w:val="left"/>
      <w:pPr>
        <w:ind w:left="1134"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D95B67"/>
    <w:multiLevelType w:val="hybridMultilevel"/>
    <w:tmpl w:val="92A2C4A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7">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3679B7"/>
    <w:multiLevelType w:val="hybridMultilevel"/>
    <w:tmpl w:val="8C4E2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2F7766"/>
    <w:multiLevelType w:val="hybridMultilevel"/>
    <w:tmpl w:val="CD303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22"/>
  </w:num>
  <w:num w:numId="4">
    <w:abstractNumId w:val="3"/>
  </w:num>
  <w:num w:numId="5">
    <w:abstractNumId w:val="19"/>
  </w:num>
  <w:num w:numId="6">
    <w:abstractNumId w:val="16"/>
  </w:num>
  <w:num w:numId="7">
    <w:abstractNumId w:val="27"/>
  </w:num>
  <w:num w:numId="8">
    <w:abstractNumId w:val="30"/>
  </w:num>
  <w:num w:numId="9">
    <w:abstractNumId w:val="18"/>
  </w:num>
  <w:num w:numId="10">
    <w:abstractNumId w:val="0"/>
  </w:num>
  <w:num w:numId="11">
    <w:abstractNumId w:val="26"/>
  </w:num>
  <w:num w:numId="12">
    <w:abstractNumId w:val="32"/>
  </w:num>
  <w:num w:numId="13">
    <w:abstractNumId w:val="20"/>
  </w:num>
  <w:num w:numId="14">
    <w:abstractNumId w:val="31"/>
  </w:num>
  <w:num w:numId="15">
    <w:abstractNumId w:val="23"/>
  </w:num>
  <w:num w:numId="16">
    <w:abstractNumId w:val="8"/>
  </w:num>
  <w:num w:numId="17">
    <w:abstractNumId w:val="12"/>
  </w:num>
  <w:num w:numId="18">
    <w:abstractNumId w:val="24"/>
  </w:num>
  <w:num w:numId="19">
    <w:abstractNumId w:val="5"/>
  </w:num>
  <w:num w:numId="20">
    <w:abstractNumId w:val="29"/>
  </w:num>
  <w:num w:numId="21">
    <w:abstractNumId w:val="17"/>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9"/>
  </w:num>
  <w:num w:numId="29">
    <w:abstractNumId w:val="2"/>
  </w:num>
  <w:num w:numId="30">
    <w:abstractNumId w:val="15"/>
  </w:num>
  <w:num w:numId="31">
    <w:abstractNumId w:val="28"/>
  </w:num>
  <w:num w:numId="32">
    <w:abstractNumId w:val="13"/>
  </w:num>
  <w:num w:numId="33">
    <w:abstractNumId w:val="3"/>
  </w:num>
  <w:num w:numId="34">
    <w:abstractNumId w:val="3"/>
  </w:num>
  <w:num w:numId="35">
    <w:abstractNumId w:val="3"/>
  </w:num>
  <w:num w:numId="36">
    <w:abstractNumId w:val="3"/>
  </w:num>
  <w:num w:numId="37">
    <w:abstractNumId w:val="1"/>
  </w:num>
  <w:num w:numId="38">
    <w:abstractNumId w:val="3"/>
  </w:num>
  <w:num w:numId="39">
    <w:abstractNumId w:val="11"/>
  </w:num>
  <w:num w:numId="40">
    <w:abstractNumId w:val="6"/>
  </w:num>
  <w:num w:numId="41">
    <w:abstractNumId w:val="3"/>
  </w:num>
  <w:num w:numId="42">
    <w:abstractNumId w:val="4"/>
  </w:num>
  <w:num w:numId="43">
    <w:abstractNumId w:val="16"/>
  </w:num>
  <w:num w:numId="44">
    <w:abstractNumId w:val="10"/>
  </w:num>
  <w:num w:numId="45">
    <w:abstractNumId w:val="25"/>
  </w:num>
  <w:num w:numId="46">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0890"/>
    <w:rsid w:val="00005261"/>
    <w:rsid w:val="000053F1"/>
    <w:rsid w:val="00005BD6"/>
    <w:rsid w:val="000111F9"/>
    <w:rsid w:val="000115F5"/>
    <w:rsid w:val="00016CBE"/>
    <w:rsid w:val="0001758C"/>
    <w:rsid w:val="00017D16"/>
    <w:rsid w:val="00017EEA"/>
    <w:rsid w:val="0002143F"/>
    <w:rsid w:val="00024FCC"/>
    <w:rsid w:val="00025C84"/>
    <w:rsid w:val="00026305"/>
    <w:rsid w:val="00030A07"/>
    <w:rsid w:val="00035F62"/>
    <w:rsid w:val="00037BA3"/>
    <w:rsid w:val="00042DC8"/>
    <w:rsid w:val="0004301D"/>
    <w:rsid w:val="00043493"/>
    <w:rsid w:val="000457AF"/>
    <w:rsid w:val="00045E36"/>
    <w:rsid w:val="00050895"/>
    <w:rsid w:val="00052911"/>
    <w:rsid w:val="00053180"/>
    <w:rsid w:val="00053CEC"/>
    <w:rsid w:val="00057FD1"/>
    <w:rsid w:val="00060CE3"/>
    <w:rsid w:val="000656A0"/>
    <w:rsid w:val="00070702"/>
    <w:rsid w:val="000715A4"/>
    <w:rsid w:val="000761A9"/>
    <w:rsid w:val="00087A9D"/>
    <w:rsid w:val="000902E3"/>
    <w:rsid w:val="00093FC9"/>
    <w:rsid w:val="000A2366"/>
    <w:rsid w:val="000A2638"/>
    <w:rsid w:val="000A6CAE"/>
    <w:rsid w:val="000A7431"/>
    <w:rsid w:val="000C087B"/>
    <w:rsid w:val="000C3D04"/>
    <w:rsid w:val="000C698E"/>
    <w:rsid w:val="000C7183"/>
    <w:rsid w:val="000D2455"/>
    <w:rsid w:val="000D3BCB"/>
    <w:rsid w:val="000D4540"/>
    <w:rsid w:val="000D50DB"/>
    <w:rsid w:val="000D57C3"/>
    <w:rsid w:val="000D6539"/>
    <w:rsid w:val="000E200F"/>
    <w:rsid w:val="000E2409"/>
    <w:rsid w:val="000F7D9D"/>
    <w:rsid w:val="00101B5E"/>
    <w:rsid w:val="00103848"/>
    <w:rsid w:val="001043F0"/>
    <w:rsid w:val="00105AD9"/>
    <w:rsid w:val="00111D09"/>
    <w:rsid w:val="00113587"/>
    <w:rsid w:val="0012098A"/>
    <w:rsid w:val="0012324E"/>
    <w:rsid w:val="00126873"/>
    <w:rsid w:val="001275EE"/>
    <w:rsid w:val="00132831"/>
    <w:rsid w:val="00132ED6"/>
    <w:rsid w:val="00134D8A"/>
    <w:rsid w:val="00134E17"/>
    <w:rsid w:val="00134FE3"/>
    <w:rsid w:val="0013780B"/>
    <w:rsid w:val="0014173A"/>
    <w:rsid w:val="00151262"/>
    <w:rsid w:val="001566A0"/>
    <w:rsid w:val="0016033A"/>
    <w:rsid w:val="00173163"/>
    <w:rsid w:val="0017700A"/>
    <w:rsid w:val="00180ECC"/>
    <w:rsid w:val="001811C7"/>
    <w:rsid w:val="0018225A"/>
    <w:rsid w:val="00182AC5"/>
    <w:rsid w:val="001868F2"/>
    <w:rsid w:val="00193C3F"/>
    <w:rsid w:val="00194075"/>
    <w:rsid w:val="001940E8"/>
    <w:rsid w:val="00194796"/>
    <w:rsid w:val="001A0ACB"/>
    <w:rsid w:val="001A1BE7"/>
    <w:rsid w:val="001A1E01"/>
    <w:rsid w:val="001A252A"/>
    <w:rsid w:val="001A2B22"/>
    <w:rsid w:val="001A3E36"/>
    <w:rsid w:val="001B5415"/>
    <w:rsid w:val="001C00DA"/>
    <w:rsid w:val="001C0A85"/>
    <w:rsid w:val="001C17C6"/>
    <w:rsid w:val="001C3502"/>
    <w:rsid w:val="001C3DFD"/>
    <w:rsid w:val="001C69AA"/>
    <w:rsid w:val="001D1F32"/>
    <w:rsid w:val="001D5AE6"/>
    <w:rsid w:val="001D74BD"/>
    <w:rsid w:val="001E0CFC"/>
    <w:rsid w:val="001E16EB"/>
    <w:rsid w:val="001E3C31"/>
    <w:rsid w:val="001E4042"/>
    <w:rsid w:val="001E5445"/>
    <w:rsid w:val="001E630D"/>
    <w:rsid w:val="001E79CB"/>
    <w:rsid w:val="001F0BEB"/>
    <w:rsid w:val="001F1C0B"/>
    <w:rsid w:val="001F344D"/>
    <w:rsid w:val="001F4FEC"/>
    <w:rsid w:val="00211A14"/>
    <w:rsid w:val="002123D5"/>
    <w:rsid w:val="00213FA8"/>
    <w:rsid w:val="0021541D"/>
    <w:rsid w:val="00216517"/>
    <w:rsid w:val="00222C61"/>
    <w:rsid w:val="002249AA"/>
    <w:rsid w:val="0022690C"/>
    <w:rsid w:val="00227122"/>
    <w:rsid w:val="00227974"/>
    <w:rsid w:val="00231185"/>
    <w:rsid w:val="002325B2"/>
    <w:rsid w:val="00235C06"/>
    <w:rsid w:val="00242EFF"/>
    <w:rsid w:val="002528F4"/>
    <w:rsid w:val="00252C50"/>
    <w:rsid w:val="002538B3"/>
    <w:rsid w:val="00256D49"/>
    <w:rsid w:val="0026100C"/>
    <w:rsid w:val="002671B4"/>
    <w:rsid w:val="0027277B"/>
    <w:rsid w:val="00273D81"/>
    <w:rsid w:val="00281341"/>
    <w:rsid w:val="00281379"/>
    <w:rsid w:val="00281D98"/>
    <w:rsid w:val="00282305"/>
    <w:rsid w:val="00284467"/>
    <w:rsid w:val="00286F6C"/>
    <w:rsid w:val="0029456A"/>
    <w:rsid w:val="00294FA5"/>
    <w:rsid w:val="00295F84"/>
    <w:rsid w:val="0029714F"/>
    <w:rsid w:val="002975F5"/>
    <w:rsid w:val="002A2A7C"/>
    <w:rsid w:val="002A43D6"/>
    <w:rsid w:val="002B2BFA"/>
    <w:rsid w:val="002B3572"/>
    <w:rsid w:val="002B7DEB"/>
    <w:rsid w:val="002C0178"/>
    <w:rsid w:val="002C16A4"/>
    <w:rsid w:val="002C4FBF"/>
    <w:rsid w:val="002C5894"/>
    <w:rsid w:val="002D27CA"/>
    <w:rsid w:val="002F0B06"/>
    <w:rsid w:val="002F5E6F"/>
    <w:rsid w:val="003016CC"/>
    <w:rsid w:val="00307B48"/>
    <w:rsid w:val="00311E0C"/>
    <w:rsid w:val="00311F1C"/>
    <w:rsid w:val="0031313F"/>
    <w:rsid w:val="003133FF"/>
    <w:rsid w:val="003144D1"/>
    <w:rsid w:val="00315545"/>
    <w:rsid w:val="00316044"/>
    <w:rsid w:val="003165B5"/>
    <w:rsid w:val="00317C63"/>
    <w:rsid w:val="00321FEE"/>
    <w:rsid w:val="003235EF"/>
    <w:rsid w:val="00323BB7"/>
    <w:rsid w:val="00325407"/>
    <w:rsid w:val="00330F3A"/>
    <w:rsid w:val="00331660"/>
    <w:rsid w:val="00333DB2"/>
    <w:rsid w:val="00334E56"/>
    <w:rsid w:val="00334EDE"/>
    <w:rsid w:val="00335336"/>
    <w:rsid w:val="00335D44"/>
    <w:rsid w:val="00341C67"/>
    <w:rsid w:val="0034347A"/>
    <w:rsid w:val="00343C2F"/>
    <w:rsid w:val="00346819"/>
    <w:rsid w:val="00350B2B"/>
    <w:rsid w:val="003515E4"/>
    <w:rsid w:val="0035218F"/>
    <w:rsid w:val="003526B1"/>
    <w:rsid w:val="0035629B"/>
    <w:rsid w:val="0035693D"/>
    <w:rsid w:val="00360725"/>
    <w:rsid w:val="00361869"/>
    <w:rsid w:val="003634E2"/>
    <w:rsid w:val="0036394E"/>
    <w:rsid w:val="003659CD"/>
    <w:rsid w:val="0036674A"/>
    <w:rsid w:val="00366B51"/>
    <w:rsid w:val="00373C5D"/>
    <w:rsid w:val="003777EA"/>
    <w:rsid w:val="003803FB"/>
    <w:rsid w:val="00384F8D"/>
    <w:rsid w:val="0038782D"/>
    <w:rsid w:val="00392D78"/>
    <w:rsid w:val="003948A4"/>
    <w:rsid w:val="003A07DB"/>
    <w:rsid w:val="003A0D95"/>
    <w:rsid w:val="003A1D59"/>
    <w:rsid w:val="003A1FE8"/>
    <w:rsid w:val="003A2214"/>
    <w:rsid w:val="003A3C03"/>
    <w:rsid w:val="003A4350"/>
    <w:rsid w:val="003A6AB7"/>
    <w:rsid w:val="003B0D64"/>
    <w:rsid w:val="003B1D58"/>
    <w:rsid w:val="003B2BB8"/>
    <w:rsid w:val="003B47B6"/>
    <w:rsid w:val="003B4DED"/>
    <w:rsid w:val="003B7F9D"/>
    <w:rsid w:val="003C074F"/>
    <w:rsid w:val="003C1155"/>
    <w:rsid w:val="003C1502"/>
    <w:rsid w:val="003C1B62"/>
    <w:rsid w:val="003C2907"/>
    <w:rsid w:val="003C3A52"/>
    <w:rsid w:val="003C7AD9"/>
    <w:rsid w:val="003D05DD"/>
    <w:rsid w:val="003D34FF"/>
    <w:rsid w:val="003D50AF"/>
    <w:rsid w:val="003D652D"/>
    <w:rsid w:val="003E391A"/>
    <w:rsid w:val="003F093B"/>
    <w:rsid w:val="003F4435"/>
    <w:rsid w:val="003F5987"/>
    <w:rsid w:val="0040062A"/>
    <w:rsid w:val="00402219"/>
    <w:rsid w:val="00404D70"/>
    <w:rsid w:val="0040640D"/>
    <w:rsid w:val="00412F59"/>
    <w:rsid w:val="00414AA0"/>
    <w:rsid w:val="0041520E"/>
    <w:rsid w:val="0041594E"/>
    <w:rsid w:val="00415CA1"/>
    <w:rsid w:val="004207CF"/>
    <w:rsid w:val="004211F3"/>
    <w:rsid w:val="00422B5A"/>
    <w:rsid w:val="00430082"/>
    <w:rsid w:val="00431FB9"/>
    <w:rsid w:val="00432D6D"/>
    <w:rsid w:val="00436C40"/>
    <w:rsid w:val="00436E11"/>
    <w:rsid w:val="0043700C"/>
    <w:rsid w:val="00440FC6"/>
    <w:rsid w:val="0044141A"/>
    <w:rsid w:val="004436FA"/>
    <w:rsid w:val="00444AB2"/>
    <w:rsid w:val="00453CCC"/>
    <w:rsid w:val="00454D52"/>
    <w:rsid w:val="00455363"/>
    <w:rsid w:val="004562FC"/>
    <w:rsid w:val="00457C4B"/>
    <w:rsid w:val="00457D12"/>
    <w:rsid w:val="00461B64"/>
    <w:rsid w:val="004652EF"/>
    <w:rsid w:val="00467E1D"/>
    <w:rsid w:val="00473792"/>
    <w:rsid w:val="00476DC4"/>
    <w:rsid w:val="00480499"/>
    <w:rsid w:val="00481A9A"/>
    <w:rsid w:val="004839BB"/>
    <w:rsid w:val="00484E13"/>
    <w:rsid w:val="00487391"/>
    <w:rsid w:val="00492831"/>
    <w:rsid w:val="00496B75"/>
    <w:rsid w:val="00496D32"/>
    <w:rsid w:val="004A2BAA"/>
    <w:rsid w:val="004A3801"/>
    <w:rsid w:val="004A3CCE"/>
    <w:rsid w:val="004A6DDD"/>
    <w:rsid w:val="004B1849"/>
    <w:rsid w:val="004B1917"/>
    <w:rsid w:val="004B52A3"/>
    <w:rsid w:val="004B54CA"/>
    <w:rsid w:val="004B650B"/>
    <w:rsid w:val="004C3FE8"/>
    <w:rsid w:val="004C6B51"/>
    <w:rsid w:val="004D014C"/>
    <w:rsid w:val="004D32B5"/>
    <w:rsid w:val="004D4B16"/>
    <w:rsid w:val="004E034F"/>
    <w:rsid w:val="004E5923"/>
    <w:rsid w:val="004E5CBF"/>
    <w:rsid w:val="004E6680"/>
    <w:rsid w:val="004F4B63"/>
    <w:rsid w:val="005029C6"/>
    <w:rsid w:val="00503938"/>
    <w:rsid w:val="00506437"/>
    <w:rsid w:val="005075AD"/>
    <w:rsid w:val="0051301A"/>
    <w:rsid w:val="005147FD"/>
    <w:rsid w:val="005155E4"/>
    <w:rsid w:val="0051601C"/>
    <w:rsid w:val="00516B3A"/>
    <w:rsid w:val="00522F35"/>
    <w:rsid w:val="00523D6C"/>
    <w:rsid w:val="00526E03"/>
    <w:rsid w:val="005304DC"/>
    <w:rsid w:val="005353A6"/>
    <w:rsid w:val="005359C6"/>
    <w:rsid w:val="00536B85"/>
    <w:rsid w:val="0054371F"/>
    <w:rsid w:val="0056204F"/>
    <w:rsid w:val="00562E1D"/>
    <w:rsid w:val="0056347E"/>
    <w:rsid w:val="00570D94"/>
    <w:rsid w:val="005711FA"/>
    <w:rsid w:val="0057211E"/>
    <w:rsid w:val="00574035"/>
    <w:rsid w:val="005759A6"/>
    <w:rsid w:val="00577DD6"/>
    <w:rsid w:val="00583ABF"/>
    <w:rsid w:val="00586A54"/>
    <w:rsid w:val="005961A7"/>
    <w:rsid w:val="005A09DF"/>
    <w:rsid w:val="005A0CF6"/>
    <w:rsid w:val="005A5AF2"/>
    <w:rsid w:val="005A6E9A"/>
    <w:rsid w:val="005B1583"/>
    <w:rsid w:val="005B2AF1"/>
    <w:rsid w:val="005B59BE"/>
    <w:rsid w:val="005C08A0"/>
    <w:rsid w:val="005C0F99"/>
    <w:rsid w:val="005C3AA9"/>
    <w:rsid w:val="005C6DDE"/>
    <w:rsid w:val="005D4B6A"/>
    <w:rsid w:val="005D7B54"/>
    <w:rsid w:val="005E02DF"/>
    <w:rsid w:val="005E1614"/>
    <w:rsid w:val="005E3643"/>
    <w:rsid w:val="005E535E"/>
    <w:rsid w:val="005F02F1"/>
    <w:rsid w:val="005F03F4"/>
    <w:rsid w:val="005F0E44"/>
    <w:rsid w:val="005F1C33"/>
    <w:rsid w:val="005F3019"/>
    <w:rsid w:val="005F34B2"/>
    <w:rsid w:val="005F512C"/>
    <w:rsid w:val="006005A2"/>
    <w:rsid w:val="0060269A"/>
    <w:rsid w:val="006064CE"/>
    <w:rsid w:val="0060676C"/>
    <w:rsid w:val="0061193B"/>
    <w:rsid w:val="006140AB"/>
    <w:rsid w:val="00616A10"/>
    <w:rsid w:val="0061762C"/>
    <w:rsid w:val="006258AE"/>
    <w:rsid w:val="00625FD5"/>
    <w:rsid w:val="006369F5"/>
    <w:rsid w:val="00637EC9"/>
    <w:rsid w:val="00642854"/>
    <w:rsid w:val="00643B2E"/>
    <w:rsid w:val="00647B4E"/>
    <w:rsid w:val="0065258B"/>
    <w:rsid w:val="00652A8A"/>
    <w:rsid w:val="00663892"/>
    <w:rsid w:val="00664AB5"/>
    <w:rsid w:val="00671C19"/>
    <w:rsid w:val="006727E9"/>
    <w:rsid w:val="006738C5"/>
    <w:rsid w:val="00674CF4"/>
    <w:rsid w:val="006763C1"/>
    <w:rsid w:val="00676BB7"/>
    <w:rsid w:val="00682083"/>
    <w:rsid w:val="006922DA"/>
    <w:rsid w:val="00692985"/>
    <w:rsid w:val="006946B1"/>
    <w:rsid w:val="006960EB"/>
    <w:rsid w:val="00696BEE"/>
    <w:rsid w:val="006A1CBF"/>
    <w:rsid w:val="006A299A"/>
    <w:rsid w:val="006A4CE7"/>
    <w:rsid w:val="006A4EAB"/>
    <w:rsid w:val="006A4FBA"/>
    <w:rsid w:val="006A50F1"/>
    <w:rsid w:val="006B0D9B"/>
    <w:rsid w:val="006B0DEE"/>
    <w:rsid w:val="006B45E8"/>
    <w:rsid w:val="006B49D8"/>
    <w:rsid w:val="006B7C7A"/>
    <w:rsid w:val="006C0F1A"/>
    <w:rsid w:val="006C2233"/>
    <w:rsid w:val="006C5E10"/>
    <w:rsid w:val="006D0769"/>
    <w:rsid w:val="006D08AA"/>
    <w:rsid w:val="006D2056"/>
    <w:rsid w:val="006D494E"/>
    <w:rsid w:val="006D644B"/>
    <w:rsid w:val="006D69A2"/>
    <w:rsid w:val="006E5B49"/>
    <w:rsid w:val="006F41D5"/>
    <w:rsid w:val="006F5D46"/>
    <w:rsid w:val="007030B4"/>
    <w:rsid w:val="00706A34"/>
    <w:rsid w:val="00707064"/>
    <w:rsid w:val="007075DE"/>
    <w:rsid w:val="00711713"/>
    <w:rsid w:val="00712BEE"/>
    <w:rsid w:val="00713C8A"/>
    <w:rsid w:val="00716124"/>
    <w:rsid w:val="007177A6"/>
    <w:rsid w:val="007215E8"/>
    <w:rsid w:val="007219F1"/>
    <w:rsid w:val="00721D2F"/>
    <w:rsid w:val="007230A7"/>
    <w:rsid w:val="0072468E"/>
    <w:rsid w:val="007326B5"/>
    <w:rsid w:val="00733882"/>
    <w:rsid w:val="00733AB1"/>
    <w:rsid w:val="00735F60"/>
    <w:rsid w:val="00736E3A"/>
    <w:rsid w:val="007519CD"/>
    <w:rsid w:val="00752925"/>
    <w:rsid w:val="0075493A"/>
    <w:rsid w:val="00760104"/>
    <w:rsid w:val="0076217E"/>
    <w:rsid w:val="00762248"/>
    <w:rsid w:val="00764DF5"/>
    <w:rsid w:val="007664EC"/>
    <w:rsid w:val="00772088"/>
    <w:rsid w:val="0077226D"/>
    <w:rsid w:val="007722C2"/>
    <w:rsid w:val="00773F6C"/>
    <w:rsid w:val="00774134"/>
    <w:rsid w:val="007751F4"/>
    <w:rsid w:val="00775931"/>
    <w:rsid w:val="00775FAB"/>
    <w:rsid w:val="00777F1F"/>
    <w:rsid w:val="0078198F"/>
    <w:rsid w:val="007836CD"/>
    <w:rsid w:val="007837FB"/>
    <w:rsid w:val="00784C2F"/>
    <w:rsid w:val="00785261"/>
    <w:rsid w:val="00787593"/>
    <w:rsid w:val="00795B27"/>
    <w:rsid w:val="00796EE2"/>
    <w:rsid w:val="007A2B17"/>
    <w:rsid w:val="007B0256"/>
    <w:rsid w:val="007B1436"/>
    <w:rsid w:val="007B6388"/>
    <w:rsid w:val="007B6FB3"/>
    <w:rsid w:val="007C1E38"/>
    <w:rsid w:val="007C3C7E"/>
    <w:rsid w:val="007C4B60"/>
    <w:rsid w:val="007D1518"/>
    <w:rsid w:val="007D256C"/>
    <w:rsid w:val="007D2AC0"/>
    <w:rsid w:val="007D5116"/>
    <w:rsid w:val="007D5E61"/>
    <w:rsid w:val="007E04D7"/>
    <w:rsid w:val="007E0EA7"/>
    <w:rsid w:val="007E66CD"/>
    <w:rsid w:val="007E7F0F"/>
    <w:rsid w:val="007F13EC"/>
    <w:rsid w:val="007F1A90"/>
    <w:rsid w:val="007F2313"/>
    <w:rsid w:val="007F6999"/>
    <w:rsid w:val="00803848"/>
    <w:rsid w:val="0080661E"/>
    <w:rsid w:val="0080684F"/>
    <w:rsid w:val="00807C34"/>
    <w:rsid w:val="008116B5"/>
    <w:rsid w:val="00812195"/>
    <w:rsid w:val="008152D8"/>
    <w:rsid w:val="0081558B"/>
    <w:rsid w:val="008207E4"/>
    <w:rsid w:val="008233B6"/>
    <w:rsid w:val="008238F3"/>
    <w:rsid w:val="00830824"/>
    <w:rsid w:val="0083089B"/>
    <w:rsid w:val="00832454"/>
    <w:rsid w:val="0083555A"/>
    <w:rsid w:val="00836FE6"/>
    <w:rsid w:val="0083786F"/>
    <w:rsid w:val="00840413"/>
    <w:rsid w:val="0085147C"/>
    <w:rsid w:val="008515A3"/>
    <w:rsid w:val="008521EA"/>
    <w:rsid w:val="00852C9E"/>
    <w:rsid w:val="00854115"/>
    <w:rsid w:val="00857733"/>
    <w:rsid w:val="008600AD"/>
    <w:rsid w:val="008619DF"/>
    <w:rsid w:val="00862C84"/>
    <w:rsid w:val="00865696"/>
    <w:rsid w:val="00866164"/>
    <w:rsid w:val="008667A8"/>
    <w:rsid w:val="0086773C"/>
    <w:rsid w:val="00872AB6"/>
    <w:rsid w:val="008802C0"/>
    <w:rsid w:val="00880FC2"/>
    <w:rsid w:val="00881230"/>
    <w:rsid w:val="0088132C"/>
    <w:rsid w:val="00883BA0"/>
    <w:rsid w:val="00886EBF"/>
    <w:rsid w:val="00890E49"/>
    <w:rsid w:val="0089169C"/>
    <w:rsid w:val="00892F10"/>
    <w:rsid w:val="00893BBD"/>
    <w:rsid w:val="00895A37"/>
    <w:rsid w:val="008A1107"/>
    <w:rsid w:val="008A2409"/>
    <w:rsid w:val="008A24A3"/>
    <w:rsid w:val="008A4BDC"/>
    <w:rsid w:val="008A5AA1"/>
    <w:rsid w:val="008A7999"/>
    <w:rsid w:val="008B0630"/>
    <w:rsid w:val="008B1B73"/>
    <w:rsid w:val="008B4CA6"/>
    <w:rsid w:val="008B4DE2"/>
    <w:rsid w:val="008B55CD"/>
    <w:rsid w:val="008B63A2"/>
    <w:rsid w:val="008B748E"/>
    <w:rsid w:val="008B7F34"/>
    <w:rsid w:val="008C517C"/>
    <w:rsid w:val="008C5D15"/>
    <w:rsid w:val="008C6143"/>
    <w:rsid w:val="008C7CCB"/>
    <w:rsid w:val="008D296D"/>
    <w:rsid w:val="008E3AF9"/>
    <w:rsid w:val="008E4ADB"/>
    <w:rsid w:val="008E57D4"/>
    <w:rsid w:val="008F04F3"/>
    <w:rsid w:val="008F505D"/>
    <w:rsid w:val="008F7E21"/>
    <w:rsid w:val="00901EAF"/>
    <w:rsid w:val="00902A70"/>
    <w:rsid w:val="0091040E"/>
    <w:rsid w:val="00913052"/>
    <w:rsid w:val="009138DE"/>
    <w:rsid w:val="00916198"/>
    <w:rsid w:val="0091676E"/>
    <w:rsid w:val="009168ED"/>
    <w:rsid w:val="009172F1"/>
    <w:rsid w:val="009225F0"/>
    <w:rsid w:val="009234E3"/>
    <w:rsid w:val="00923ED2"/>
    <w:rsid w:val="00926131"/>
    <w:rsid w:val="00932124"/>
    <w:rsid w:val="009347F7"/>
    <w:rsid w:val="009373F4"/>
    <w:rsid w:val="009418DE"/>
    <w:rsid w:val="00943693"/>
    <w:rsid w:val="009454BA"/>
    <w:rsid w:val="0094725D"/>
    <w:rsid w:val="00950BE4"/>
    <w:rsid w:val="0095124F"/>
    <w:rsid w:val="009517B5"/>
    <w:rsid w:val="009549EA"/>
    <w:rsid w:val="00954A6C"/>
    <w:rsid w:val="009611E3"/>
    <w:rsid w:val="009653A4"/>
    <w:rsid w:val="0096619B"/>
    <w:rsid w:val="00967482"/>
    <w:rsid w:val="00972037"/>
    <w:rsid w:val="0097268F"/>
    <w:rsid w:val="00972B4C"/>
    <w:rsid w:val="009735C1"/>
    <w:rsid w:val="00975BC5"/>
    <w:rsid w:val="009768B0"/>
    <w:rsid w:val="00977591"/>
    <w:rsid w:val="00982450"/>
    <w:rsid w:val="00985170"/>
    <w:rsid w:val="00987111"/>
    <w:rsid w:val="009875F6"/>
    <w:rsid w:val="00987621"/>
    <w:rsid w:val="00991574"/>
    <w:rsid w:val="00995132"/>
    <w:rsid w:val="00995909"/>
    <w:rsid w:val="00996565"/>
    <w:rsid w:val="00996CB3"/>
    <w:rsid w:val="00996EF8"/>
    <w:rsid w:val="009A0382"/>
    <w:rsid w:val="009A213F"/>
    <w:rsid w:val="009A3891"/>
    <w:rsid w:val="009A65FC"/>
    <w:rsid w:val="009A66DF"/>
    <w:rsid w:val="009A7C26"/>
    <w:rsid w:val="009B1FCB"/>
    <w:rsid w:val="009B36E4"/>
    <w:rsid w:val="009B51E7"/>
    <w:rsid w:val="009C2D82"/>
    <w:rsid w:val="009C5501"/>
    <w:rsid w:val="009C6E47"/>
    <w:rsid w:val="009C765E"/>
    <w:rsid w:val="009C7856"/>
    <w:rsid w:val="009D449E"/>
    <w:rsid w:val="009E0E63"/>
    <w:rsid w:val="009E12C1"/>
    <w:rsid w:val="009E1BAE"/>
    <w:rsid w:val="009E3A97"/>
    <w:rsid w:val="009E6165"/>
    <w:rsid w:val="009E72FA"/>
    <w:rsid w:val="009E7F07"/>
    <w:rsid w:val="009F6F9F"/>
    <w:rsid w:val="00A019C3"/>
    <w:rsid w:val="00A04B50"/>
    <w:rsid w:val="00A1065E"/>
    <w:rsid w:val="00A15DA9"/>
    <w:rsid w:val="00A22306"/>
    <w:rsid w:val="00A2635B"/>
    <w:rsid w:val="00A27C41"/>
    <w:rsid w:val="00A33386"/>
    <w:rsid w:val="00A354E3"/>
    <w:rsid w:val="00A36675"/>
    <w:rsid w:val="00A40B96"/>
    <w:rsid w:val="00A4644E"/>
    <w:rsid w:val="00A47AEA"/>
    <w:rsid w:val="00A52707"/>
    <w:rsid w:val="00A545B2"/>
    <w:rsid w:val="00A54E47"/>
    <w:rsid w:val="00A57254"/>
    <w:rsid w:val="00A576C0"/>
    <w:rsid w:val="00A6229E"/>
    <w:rsid w:val="00A65F00"/>
    <w:rsid w:val="00A674E6"/>
    <w:rsid w:val="00A71D91"/>
    <w:rsid w:val="00A73534"/>
    <w:rsid w:val="00A73FA9"/>
    <w:rsid w:val="00A7423A"/>
    <w:rsid w:val="00A743E0"/>
    <w:rsid w:val="00A75923"/>
    <w:rsid w:val="00A75A64"/>
    <w:rsid w:val="00A8142D"/>
    <w:rsid w:val="00A83409"/>
    <w:rsid w:val="00A8436C"/>
    <w:rsid w:val="00A86F2D"/>
    <w:rsid w:val="00A9435F"/>
    <w:rsid w:val="00AA09D9"/>
    <w:rsid w:val="00AA0DA9"/>
    <w:rsid w:val="00AA47C1"/>
    <w:rsid w:val="00AA4FCA"/>
    <w:rsid w:val="00AB02D8"/>
    <w:rsid w:val="00AB603D"/>
    <w:rsid w:val="00AB6B14"/>
    <w:rsid w:val="00AB6C8A"/>
    <w:rsid w:val="00AC5E2D"/>
    <w:rsid w:val="00AD0B03"/>
    <w:rsid w:val="00AD1B31"/>
    <w:rsid w:val="00AD4EBC"/>
    <w:rsid w:val="00AE0D61"/>
    <w:rsid w:val="00AE32E8"/>
    <w:rsid w:val="00AF4F1F"/>
    <w:rsid w:val="00AF55F4"/>
    <w:rsid w:val="00AF6A46"/>
    <w:rsid w:val="00B00557"/>
    <w:rsid w:val="00B02EC7"/>
    <w:rsid w:val="00B04C25"/>
    <w:rsid w:val="00B04EF2"/>
    <w:rsid w:val="00B05805"/>
    <w:rsid w:val="00B06227"/>
    <w:rsid w:val="00B117EC"/>
    <w:rsid w:val="00B1295A"/>
    <w:rsid w:val="00B15256"/>
    <w:rsid w:val="00B15D71"/>
    <w:rsid w:val="00B207E8"/>
    <w:rsid w:val="00B227D9"/>
    <w:rsid w:val="00B3051D"/>
    <w:rsid w:val="00B32089"/>
    <w:rsid w:val="00B34EF6"/>
    <w:rsid w:val="00B359EF"/>
    <w:rsid w:val="00B37370"/>
    <w:rsid w:val="00B4053F"/>
    <w:rsid w:val="00B409D1"/>
    <w:rsid w:val="00B45937"/>
    <w:rsid w:val="00B46AE1"/>
    <w:rsid w:val="00B52B19"/>
    <w:rsid w:val="00B56A4A"/>
    <w:rsid w:val="00B60D62"/>
    <w:rsid w:val="00B61463"/>
    <w:rsid w:val="00B62B34"/>
    <w:rsid w:val="00B640DA"/>
    <w:rsid w:val="00B658AF"/>
    <w:rsid w:val="00B76B55"/>
    <w:rsid w:val="00B76D59"/>
    <w:rsid w:val="00B77024"/>
    <w:rsid w:val="00B773D4"/>
    <w:rsid w:val="00B81D49"/>
    <w:rsid w:val="00B837CB"/>
    <w:rsid w:val="00B854D9"/>
    <w:rsid w:val="00B86D70"/>
    <w:rsid w:val="00B9274C"/>
    <w:rsid w:val="00B9293A"/>
    <w:rsid w:val="00B9773D"/>
    <w:rsid w:val="00BA05E4"/>
    <w:rsid w:val="00BA2DB9"/>
    <w:rsid w:val="00BA3CDC"/>
    <w:rsid w:val="00BA4AFC"/>
    <w:rsid w:val="00BA539B"/>
    <w:rsid w:val="00BB06ED"/>
    <w:rsid w:val="00BB383A"/>
    <w:rsid w:val="00BC0759"/>
    <w:rsid w:val="00BC24CF"/>
    <w:rsid w:val="00BC569E"/>
    <w:rsid w:val="00BC5A1B"/>
    <w:rsid w:val="00BC5E88"/>
    <w:rsid w:val="00BC66C0"/>
    <w:rsid w:val="00BD2A96"/>
    <w:rsid w:val="00BD4024"/>
    <w:rsid w:val="00BD4CDE"/>
    <w:rsid w:val="00BD50C8"/>
    <w:rsid w:val="00BD604F"/>
    <w:rsid w:val="00BD65F4"/>
    <w:rsid w:val="00BE4C7C"/>
    <w:rsid w:val="00BE632A"/>
    <w:rsid w:val="00BE70D4"/>
    <w:rsid w:val="00BE7148"/>
    <w:rsid w:val="00BF276E"/>
    <w:rsid w:val="00BF7767"/>
    <w:rsid w:val="00C03F10"/>
    <w:rsid w:val="00C06AAE"/>
    <w:rsid w:val="00C07173"/>
    <w:rsid w:val="00C104C2"/>
    <w:rsid w:val="00C119B0"/>
    <w:rsid w:val="00C14F7E"/>
    <w:rsid w:val="00C163B9"/>
    <w:rsid w:val="00C1690B"/>
    <w:rsid w:val="00C17E6B"/>
    <w:rsid w:val="00C20B55"/>
    <w:rsid w:val="00C233D3"/>
    <w:rsid w:val="00C234BD"/>
    <w:rsid w:val="00C32D98"/>
    <w:rsid w:val="00C3454D"/>
    <w:rsid w:val="00C359BC"/>
    <w:rsid w:val="00C41EB6"/>
    <w:rsid w:val="00C44433"/>
    <w:rsid w:val="00C46EEB"/>
    <w:rsid w:val="00C500AD"/>
    <w:rsid w:val="00C508D7"/>
    <w:rsid w:val="00C531AF"/>
    <w:rsid w:val="00C537BB"/>
    <w:rsid w:val="00C562E5"/>
    <w:rsid w:val="00C5695C"/>
    <w:rsid w:val="00C62F3C"/>
    <w:rsid w:val="00C6355F"/>
    <w:rsid w:val="00C66860"/>
    <w:rsid w:val="00C66E70"/>
    <w:rsid w:val="00C70E87"/>
    <w:rsid w:val="00C7343E"/>
    <w:rsid w:val="00C73823"/>
    <w:rsid w:val="00C74DA8"/>
    <w:rsid w:val="00C763E0"/>
    <w:rsid w:val="00C819A0"/>
    <w:rsid w:val="00C8311A"/>
    <w:rsid w:val="00C834CE"/>
    <w:rsid w:val="00C85193"/>
    <w:rsid w:val="00C85C60"/>
    <w:rsid w:val="00C90CD3"/>
    <w:rsid w:val="00C9399E"/>
    <w:rsid w:val="00C968E0"/>
    <w:rsid w:val="00C97ED6"/>
    <w:rsid w:val="00CA5762"/>
    <w:rsid w:val="00CA6061"/>
    <w:rsid w:val="00CA6E39"/>
    <w:rsid w:val="00CB0568"/>
    <w:rsid w:val="00CB108F"/>
    <w:rsid w:val="00CB2AB6"/>
    <w:rsid w:val="00CC32F5"/>
    <w:rsid w:val="00CC4175"/>
    <w:rsid w:val="00CD0CCE"/>
    <w:rsid w:val="00CD1CEB"/>
    <w:rsid w:val="00CD3579"/>
    <w:rsid w:val="00CD53B0"/>
    <w:rsid w:val="00CD54AF"/>
    <w:rsid w:val="00CD599B"/>
    <w:rsid w:val="00CD68BE"/>
    <w:rsid w:val="00CD7CF3"/>
    <w:rsid w:val="00CE1DE3"/>
    <w:rsid w:val="00CE408D"/>
    <w:rsid w:val="00CE64D6"/>
    <w:rsid w:val="00CE678A"/>
    <w:rsid w:val="00CF2B90"/>
    <w:rsid w:val="00CF49A8"/>
    <w:rsid w:val="00CF6E13"/>
    <w:rsid w:val="00D005E6"/>
    <w:rsid w:val="00D011D4"/>
    <w:rsid w:val="00D05293"/>
    <w:rsid w:val="00D07ABF"/>
    <w:rsid w:val="00D12ED1"/>
    <w:rsid w:val="00D15556"/>
    <w:rsid w:val="00D15CA9"/>
    <w:rsid w:val="00D3056F"/>
    <w:rsid w:val="00D31648"/>
    <w:rsid w:val="00D33A88"/>
    <w:rsid w:val="00D41432"/>
    <w:rsid w:val="00D43363"/>
    <w:rsid w:val="00D45420"/>
    <w:rsid w:val="00D46D62"/>
    <w:rsid w:val="00D52B3E"/>
    <w:rsid w:val="00D52D8F"/>
    <w:rsid w:val="00D54BD6"/>
    <w:rsid w:val="00D54F8E"/>
    <w:rsid w:val="00D57227"/>
    <w:rsid w:val="00D57524"/>
    <w:rsid w:val="00D6031F"/>
    <w:rsid w:val="00D65E52"/>
    <w:rsid w:val="00D706A3"/>
    <w:rsid w:val="00D70AFD"/>
    <w:rsid w:val="00D70E6F"/>
    <w:rsid w:val="00D7343A"/>
    <w:rsid w:val="00D7499B"/>
    <w:rsid w:val="00D76395"/>
    <w:rsid w:val="00D82084"/>
    <w:rsid w:val="00D82214"/>
    <w:rsid w:val="00D83C9E"/>
    <w:rsid w:val="00D85B9F"/>
    <w:rsid w:val="00D86795"/>
    <w:rsid w:val="00D87CFB"/>
    <w:rsid w:val="00D9120E"/>
    <w:rsid w:val="00D94018"/>
    <w:rsid w:val="00D963F1"/>
    <w:rsid w:val="00D97ECD"/>
    <w:rsid w:val="00DA0288"/>
    <w:rsid w:val="00DA236F"/>
    <w:rsid w:val="00DA2A81"/>
    <w:rsid w:val="00DA6432"/>
    <w:rsid w:val="00DB00AC"/>
    <w:rsid w:val="00DB42DF"/>
    <w:rsid w:val="00DB4B44"/>
    <w:rsid w:val="00DC0777"/>
    <w:rsid w:val="00DC0A5C"/>
    <w:rsid w:val="00DC24DC"/>
    <w:rsid w:val="00DC3ED7"/>
    <w:rsid w:val="00DC5FF9"/>
    <w:rsid w:val="00DD1AF7"/>
    <w:rsid w:val="00DD2EBF"/>
    <w:rsid w:val="00DD344D"/>
    <w:rsid w:val="00DD38DC"/>
    <w:rsid w:val="00DD3E29"/>
    <w:rsid w:val="00DD716D"/>
    <w:rsid w:val="00DD7E17"/>
    <w:rsid w:val="00DE0B9A"/>
    <w:rsid w:val="00DE5213"/>
    <w:rsid w:val="00DE71F1"/>
    <w:rsid w:val="00DF26B5"/>
    <w:rsid w:val="00DF5CCB"/>
    <w:rsid w:val="00DF5E3B"/>
    <w:rsid w:val="00DF71B3"/>
    <w:rsid w:val="00E005E0"/>
    <w:rsid w:val="00E06723"/>
    <w:rsid w:val="00E10E99"/>
    <w:rsid w:val="00E12870"/>
    <w:rsid w:val="00E202A2"/>
    <w:rsid w:val="00E205E9"/>
    <w:rsid w:val="00E27A53"/>
    <w:rsid w:val="00E3014F"/>
    <w:rsid w:val="00E302D9"/>
    <w:rsid w:val="00E30E98"/>
    <w:rsid w:val="00E31682"/>
    <w:rsid w:val="00E323D2"/>
    <w:rsid w:val="00E32470"/>
    <w:rsid w:val="00E37CD4"/>
    <w:rsid w:val="00E41E33"/>
    <w:rsid w:val="00E42952"/>
    <w:rsid w:val="00E43C71"/>
    <w:rsid w:val="00E45038"/>
    <w:rsid w:val="00E459B7"/>
    <w:rsid w:val="00E4734B"/>
    <w:rsid w:val="00E534E3"/>
    <w:rsid w:val="00E56861"/>
    <w:rsid w:val="00E57965"/>
    <w:rsid w:val="00E6459D"/>
    <w:rsid w:val="00E66C31"/>
    <w:rsid w:val="00E700B8"/>
    <w:rsid w:val="00E74A10"/>
    <w:rsid w:val="00E765CA"/>
    <w:rsid w:val="00E76A69"/>
    <w:rsid w:val="00E82F46"/>
    <w:rsid w:val="00E93F35"/>
    <w:rsid w:val="00E96534"/>
    <w:rsid w:val="00E970CA"/>
    <w:rsid w:val="00EA1761"/>
    <w:rsid w:val="00EA3527"/>
    <w:rsid w:val="00EA5B42"/>
    <w:rsid w:val="00EA621C"/>
    <w:rsid w:val="00EB28F6"/>
    <w:rsid w:val="00EB2E64"/>
    <w:rsid w:val="00EB47F3"/>
    <w:rsid w:val="00EB4E23"/>
    <w:rsid w:val="00EB62DC"/>
    <w:rsid w:val="00EB65A9"/>
    <w:rsid w:val="00EC0AA2"/>
    <w:rsid w:val="00EC23C8"/>
    <w:rsid w:val="00EC37B2"/>
    <w:rsid w:val="00EC46C5"/>
    <w:rsid w:val="00EC4C95"/>
    <w:rsid w:val="00EC66D4"/>
    <w:rsid w:val="00EC73BF"/>
    <w:rsid w:val="00ED088B"/>
    <w:rsid w:val="00ED1E5F"/>
    <w:rsid w:val="00ED3665"/>
    <w:rsid w:val="00ED46E2"/>
    <w:rsid w:val="00ED4CD0"/>
    <w:rsid w:val="00ED5403"/>
    <w:rsid w:val="00ED5E28"/>
    <w:rsid w:val="00EE0251"/>
    <w:rsid w:val="00EE3D25"/>
    <w:rsid w:val="00EE5246"/>
    <w:rsid w:val="00EE54E1"/>
    <w:rsid w:val="00EE6B80"/>
    <w:rsid w:val="00EF0F36"/>
    <w:rsid w:val="00F016CD"/>
    <w:rsid w:val="00F04074"/>
    <w:rsid w:val="00F1564A"/>
    <w:rsid w:val="00F16609"/>
    <w:rsid w:val="00F22C58"/>
    <w:rsid w:val="00F23353"/>
    <w:rsid w:val="00F24910"/>
    <w:rsid w:val="00F24A28"/>
    <w:rsid w:val="00F31CD4"/>
    <w:rsid w:val="00F3275E"/>
    <w:rsid w:val="00F424E1"/>
    <w:rsid w:val="00F43C41"/>
    <w:rsid w:val="00F44F4D"/>
    <w:rsid w:val="00F46840"/>
    <w:rsid w:val="00F509EA"/>
    <w:rsid w:val="00F52078"/>
    <w:rsid w:val="00F55A39"/>
    <w:rsid w:val="00F61CF7"/>
    <w:rsid w:val="00F7086A"/>
    <w:rsid w:val="00F7256A"/>
    <w:rsid w:val="00F770C9"/>
    <w:rsid w:val="00F8449D"/>
    <w:rsid w:val="00F850E4"/>
    <w:rsid w:val="00F910F6"/>
    <w:rsid w:val="00F91AE0"/>
    <w:rsid w:val="00F91E23"/>
    <w:rsid w:val="00F92EB6"/>
    <w:rsid w:val="00FA5BDC"/>
    <w:rsid w:val="00FA6146"/>
    <w:rsid w:val="00FA6A23"/>
    <w:rsid w:val="00FA7850"/>
    <w:rsid w:val="00FB0CD9"/>
    <w:rsid w:val="00FB0CE5"/>
    <w:rsid w:val="00FB1060"/>
    <w:rsid w:val="00FB2BB6"/>
    <w:rsid w:val="00FB4859"/>
    <w:rsid w:val="00FB5514"/>
    <w:rsid w:val="00FC6116"/>
    <w:rsid w:val="00FD1A69"/>
    <w:rsid w:val="00FD55CF"/>
    <w:rsid w:val="00FD739C"/>
    <w:rsid w:val="00FD7CA1"/>
    <w:rsid w:val="00FE4605"/>
    <w:rsid w:val="00FE67D3"/>
    <w:rsid w:val="00FE78C4"/>
    <w:rsid w:val="00FE7F34"/>
    <w:rsid w:val="00FF0979"/>
    <w:rsid w:val="00FF366E"/>
    <w:rsid w:val="00FF4D1F"/>
    <w:rsid w:val="00FF51FC"/>
    <w:rsid w:val="00FF5A37"/>
    <w:rsid w:val="00FF6030"/>
    <w:rsid w:val="00FF6DD1"/>
    <w:rsid w:val="00FF7E7A"/>
    <w:rsid w:val="00FF7F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1E654B7"/>
  <w15:docId w15:val="{6097BB8F-44B3-407D-BD0C-BABDB6E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3BF"/>
  </w:style>
  <w:style w:type="paragraph" w:styleId="Heading1">
    <w:name w:val="heading 1"/>
    <w:basedOn w:val="Heading2"/>
    <w:next w:val="Normal"/>
    <w:link w:val="Heading1Char"/>
    <w:uiPriority w:val="9"/>
    <w:qFormat/>
    <w:rsid w:val="0040640D"/>
    <w:pPr>
      <w:spacing w:before="480" w:after="240"/>
      <w:outlineLvl w:val="0"/>
    </w:pPr>
    <w:rPr>
      <w:sz w:val="32"/>
      <w:szCs w:val="32"/>
    </w:rPr>
  </w:style>
  <w:style w:type="paragraph" w:styleId="Heading2">
    <w:name w:val="heading 2"/>
    <w:basedOn w:val="Heading3"/>
    <w:next w:val="Normal"/>
    <w:link w:val="Heading2Char"/>
    <w:uiPriority w:val="9"/>
    <w:unhideWhenUsed/>
    <w:qFormat/>
    <w:rsid w:val="00EF0F36"/>
    <w:pPr>
      <w:spacing w:before="400"/>
      <w:ind w:left="578" w:hanging="578"/>
      <w:outlineLvl w:val="1"/>
    </w:pPr>
    <w:rPr>
      <w:color w:val="6B2976" w:themeColor="accent4"/>
      <w:sz w:val="26"/>
      <w:szCs w:val="26"/>
    </w:rPr>
  </w:style>
  <w:style w:type="paragraph" w:styleId="Heading3">
    <w:name w:val="heading 3"/>
    <w:basedOn w:val="Normal"/>
    <w:next w:val="Normal"/>
    <w:link w:val="Heading3Char"/>
    <w:uiPriority w:val="9"/>
    <w:unhideWhenUsed/>
    <w:qFormat/>
    <w:rsid w:val="00315545"/>
    <w:pPr>
      <w:keepNext/>
      <w:spacing w:before="200"/>
      <w:ind w:left="720" w:hanging="720"/>
      <w:outlineLvl w:val="2"/>
    </w:pPr>
    <w:rPr>
      <w:b/>
    </w:rPr>
  </w:style>
  <w:style w:type="paragraph" w:styleId="Heading4">
    <w:name w:val="heading 4"/>
    <w:basedOn w:val="Normal"/>
    <w:next w:val="Normal"/>
    <w:link w:val="Heading4Char"/>
    <w:uiPriority w:val="9"/>
    <w:unhideWhenUsed/>
    <w:qFormat/>
    <w:rsid w:val="00890E49"/>
    <w:pPr>
      <w:keepNext/>
      <w:spacing w:before="200"/>
      <w:ind w:left="862" w:hanging="862"/>
      <w:outlineLvl w:val="3"/>
    </w:pPr>
    <w:rPr>
      <w:u w:val="single"/>
    </w:rPr>
  </w:style>
  <w:style w:type="paragraph" w:styleId="Heading5">
    <w:name w:val="heading 5"/>
    <w:basedOn w:val="Normal"/>
    <w:next w:val="Normal"/>
    <w:link w:val="Heading5Char"/>
    <w:uiPriority w:val="9"/>
    <w:unhideWhenUsed/>
    <w:qFormat/>
    <w:rsid w:val="003526B1"/>
    <w:pPr>
      <w:numPr>
        <w:ilvl w:val="4"/>
        <w:numId w:val="4"/>
      </w:numPr>
      <w:spacing w:before="200" w:line="240" w:lineRule="auto"/>
      <w:ind w:left="1009" w:hanging="1009"/>
      <w:outlineLvl w:val="4"/>
    </w:pPr>
    <w:rPr>
      <w:b/>
    </w:rPr>
  </w:style>
  <w:style w:type="paragraph" w:styleId="Heading6">
    <w:name w:val="heading 6"/>
    <w:basedOn w:val="Normal"/>
    <w:next w:val="Normal"/>
    <w:link w:val="Heading6Char"/>
    <w:uiPriority w:val="9"/>
    <w:unhideWhenUsed/>
    <w:rsid w:val="004B54CA"/>
    <w:pPr>
      <w:numPr>
        <w:ilvl w:val="5"/>
        <w:numId w:val="4"/>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numPr>
        <w:ilvl w:val="6"/>
        <w:numId w:val="4"/>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numPr>
        <w:ilvl w:val="7"/>
        <w:numId w:val="4"/>
      </w:num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numPr>
        <w:ilvl w:val="8"/>
        <w:numId w:val="4"/>
      </w:num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5545"/>
    <w:rPr>
      <w:b/>
    </w:rPr>
  </w:style>
  <w:style w:type="character" w:customStyle="1" w:styleId="Heading2Char">
    <w:name w:val="Heading 2 Char"/>
    <w:basedOn w:val="DefaultParagraphFont"/>
    <w:link w:val="Heading2"/>
    <w:uiPriority w:val="9"/>
    <w:rsid w:val="00EF0F36"/>
    <w:rPr>
      <w:b/>
      <w:color w:val="6B2976" w:themeColor="accent4"/>
      <w:sz w:val="26"/>
      <w:szCs w:val="26"/>
    </w:rPr>
  </w:style>
  <w:style w:type="character" w:customStyle="1" w:styleId="Heading1Char">
    <w:name w:val="Heading 1 Char"/>
    <w:basedOn w:val="DefaultParagraphFont"/>
    <w:link w:val="Heading1"/>
    <w:uiPriority w:val="9"/>
    <w:rsid w:val="0040640D"/>
    <w:rPr>
      <w:b/>
      <w:color w:val="6B2976" w:themeColor="accent4"/>
      <w:sz w:val="32"/>
      <w:szCs w:val="32"/>
    </w:rPr>
  </w:style>
  <w:style w:type="character" w:customStyle="1" w:styleId="Heading4Char">
    <w:name w:val="Heading 4 Char"/>
    <w:basedOn w:val="DefaultParagraphFont"/>
    <w:link w:val="Heading4"/>
    <w:uiPriority w:val="9"/>
    <w:rsid w:val="00890E49"/>
    <w:rPr>
      <w:u w:val="single"/>
    </w:rPr>
  </w:style>
  <w:style w:type="character" w:customStyle="1" w:styleId="Heading5Char">
    <w:name w:val="Heading 5 Char"/>
    <w:basedOn w:val="DefaultParagraphFont"/>
    <w:link w:val="Heading5"/>
    <w:uiPriority w:val="9"/>
    <w:rsid w:val="003526B1"/>
    <w:rPr>
      <w:b/>
    </w:rPr>
  </w:style>
  <w:style w:type="character" w:customStyle="1" w:styleId="Heading6Char">
    <w:name w:val="Heading 6 Char"/>
    <w:basedOn w:val="DefaultParagraphFont"/>
    <w:link w:val="Heading6"/>
    <w:uiPriority w:val="9"/>
    <w:rsid w:val="004B54CA"/>
    <w:rPr>
      <w:rFonts w:eastAsiaTheme="majorEastAsia"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eastAsiaTheme="majorEastAsia" w:cstheme="majorBidi"/>
      <w:i/>
      <w:iCs/>
    </w:rPr>
  </w:style>
  <w:style w:type="character" w:customStyle="1" w:styleId="Heading8Char">
    <w:name w:val="Heading 8 Char"/>
    <w:basedOn w:val="DefaultParagraphFont"/>
    <w:link w:val="Heading8"/>
    <w:uiPriority w:val="9"/>
    <w:rsid w:val="004B54CA"/>
    <w:rPr>
      <w:rFonts w:eastAsiaTheme="majorEastAsia" w:cstheme="majorBidi"/>
      <w:sz w:val="20"/>
      <w:szCs w:val="20"/>
    </w:rPr>
  </w:style>
  <w:style w:type="character" w:customStyle="1" w:styleId="Heading9Char">
    <w:name w:val="Heading 9 Char"/>
    <w:basedOn w:val="DefaultParagraphFont"/>
    <w:link w:val="Heading9"/>
    <w:uiPriority w:val="9"/>
    <w:rsid w:val="004B54CA"/>
    <w:rPr>
      <w:rFonts w:eastAsiaTheme="majorEastAsia"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D57227"/>
    <w:pPr>
      <w:numPr>
        <w:numId w:val="6"/>
      </w:numPr>
    </w:p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D57227"/>
  </w:style>
  <w:style w:type="paragraph" w:styleId="Caption">
    <w:name w:val="caption"/>
    <w:basedOn w:val="Normal"/>
    <w:next w:val="Normal"/>
    <w:link w:val="CaptionChar"/>
    <w:uiPriority w:val="3"/>
    <w:unhideWhenUsed/>
    <w:qFormat/>
    <w:rsid w:val="00182AC5"/>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EC73BF"/>
    <w:pPr>
      <w:jc w:val="center"/>
    </w:pPr>
    <w:rPr>
      <w:rFonts w:cs="Arial"/>
      <w:b/>
      <w:color w:val="FFFFFF" w:themeColor="background1"/>
      <w:sz w:val="48"/>
      <w:szCs w:val="96"/>
    </w:rPr>
  </w:style>
  <w:style w:type="paragraph" w:styleId="Header">
    <w:name w:val="header"/>
    <w:basedOn w:val="Normal"/>
    <w:link w:val="HeaderChar"/>
    <w:uiPriority w:val="99"/>
    <w:unhideWhenUsed/>
    <w:qFormat/>
    <w:rsid w:val="00EE5246"/>
    <w:pPr>
      <w:pBdr>
        <w:bottom w:val="single" w:sz="18" w:space="1" w:color="6B2976" w:themeColor="accent4"/>
      </w:pBdr>
      <w:tabs>
        <w:tab w:val="center" w:pos="4513"/>
        <w:tab w:val="right" w:pos="9026"/>
      </w:tabs>
      <w:spacing w:after="0" w:line="240" w:lineRule="auto"/>
      <w:jc w:val="center"/>
    </w:pPr>
    <w:rPr>
      <w:i/>
      <w:color w:val="6B2976" w:themeColor="accent4"/>
    </w:rPr>
  </w:style>
  <w:style w:type="character" w:customStyle="1" w:styleId="HeaderChar">
    <w:name w:val="Header Char"/>
    <w:basedOn w:val="DefaultParagraphFont"/>
    <w:link w:val="Header"/>
    <w:uiPriority w:val="99"/>
    <w:rsid w:val="00EE5246"/>
    <w:rPr>
      <w:i/>
      <w:color w:val="6B2976" w:themeColor="accent4"/>
    </w:rPr>
  </w:style>
  <w:style w:type="paragraph" w:styleId="Footer">
    <w:name w:val="footer"/>
    <w:basedOn w:val="Normal"/>
    <w:link w:val="FooterChar"/>
    <w:uiPriority w:val="99"/>
    <w:unhideWhenUsed/>
    <w:rsid w:val="00EE5246"/>
    <w:pPr>
      <w:pBdr>
        <w:top w:val="single" w:sz="18" w:space="1" w:color="auto"/>
      </w:pBdr>
      <w:tabs>
        <w:tab w:val="center" w:pos="4513"/>
        <w:tab w:val="right" w:pos="9026"/>
      </w:tabs>
      <w:spacing w:after="0" w:line="240" w:lineRule="auto"/>
    </w:pPr>
  </w:style>
  <w:style w:type="character" w:customStyle="1" w:styleId="FooterChar">
    <w:name w:val="Footer Char"/>
    <w:basedOn w:val="DefaultParagraphFont"/>
    <w:link w:val="Footer"/>
    <w:uiPriority w:val="99"/>
    <w:rsid w:val="00EE5246"/>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D54BD6"/>
    <w:pPr>
      <w:tabs>
        <w:tab w:val="left" w:pos="567"/>
        <w:tab w:val="right" w:leader="dot" w:pos="9016"/>
      </w:tabs>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D54BD6"/>
    <w:pPr>
      <w:tabs>
        <w:tab w:val="left" w:pos="851"/>
        <w:tab w:val="right" w:leader="dot" w:pos="9016"/>
      </w:tabs>
      <w:ind w:left="567"/>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table" w:styleId="TableGrid">
    <w:name w:val="Table Grid"/>
    <w:basedOn w:val="TableNormal"/>
    <w:uiPriority w:val="3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ind w:left="864" w:hanging="864"/>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D54BD6"/>
    <w:pPr>
      <w:spacing w:line="240" w:lineRule="atLeast"/>
      <w:ind w:left="284" w:hanging="284"/>
    </w:pPr>
    <w:rPr>
      <w:sz w:val="18"/>
      <w:szCs w:val="20"/>
    </w:rPr>
  </w:style>
  <w:style w:type="character" w:customStyle="1" w:styleId="FootnoteTextChar">
    <w:name w:val="Footnote Text Char"/>
    <w:basedOn w:val="DefaultParagraphFont"/>
    <w:link w:val="FootnoteText"/>
    <w:uiPriority w:val="99"/>
    <w:rsid w:val="00D54BD6"/>
    <w:rPr>
      <w:sz w:val="18"/>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uiPriority w:val="3"/>
    <w:rsid w:val="00182AC5"/>
    <w:rPr>
      <w:b/>
      <w:bCs/>
      <w:i/>
      <w:sz w:val="20"/>
      <w:szCs w:val="20"/>
    </w:rPr>
  </w:style>
  <w:style w:type="paragraph" w:customStyle="1" w:styleId="Source">
    <w:name w:val="Source"/>
    <w:basedOn w:val="Normal"/>
    <w:uiPriority w:val="6"/>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uiPriority w:val="99"/>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1"/>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2"/>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3"/>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3"/>
      </w:numPr>
      <w:ind w:left="2160" w:hanging="360"/>
    </w:pPr>
  </w:style>
  <w:style w:type="character" w:customStyle="1" w:styleId="CEOBrief-Paragraph1Char">
    <w:name w:val="CEO Brief - Paragraph 1 Char"/>
    <w:basedOn w:val="ListParagraphChar"/>
    <w:link w:val="CEOBrief-Paragraph1"/>
    <w:rsid w:val="00DC24DC"/>
    <w:rPr>
      <w:rFonts w:eastAsia="Times New Roman" w:cs="Arial"/>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Table">
    <w:name w:val="Caption_Table"/>
    <w:basedOn w:val="Normal"/>
    <w:next w:val="Normal"/>
    <w:uiPriority w:val="4"/>
    <w:rsid w:val="00795B27"/>
    <w:pPr>
      <w:keepNext/>
      <w:keepLines/>
      <w:numPr>
        <w:ilvl w:val="6"/>
        <w:numId w:val="5"/>
      </w:numPr>
      <w:spacing w:before="240" w:after="240" w:line="240" w:lineRule="atLeast"/>
    </w:pPr>
    <w:rPr>
      <w:rFonts w:eastAsia="Times New Roman" w:cs="Times New Roman"/>
      <w:color w:val="F79646" w:themeColor="accent6"/>
      <w:sz w:val="17"/>
      <w:szCs w:val="20"/>
      <w:lang w:val="en-GB"/>
    </w:rPr>
  </w:style>
  <w:style w:type="paragraph" w:customStyle="1" w:styleId="CaptionFigure">
    <w:name w:val="Caption_Figure"/>
    <w:basedOn w:val="Normal"/>
    <w:next w:val="Normal"/>
    <w:uiPriority w:val="4"/>
    <w:rsid w:val="00795B27"/>
    <w:pPr>
      <w:keepNext/>
      <w:keepLines/>
      <w:numPr>
        <w:ilvl w:val="8"/>
        <w:numId w:val="5"/>
      </w:numPr>
      <w:spacing w:before="200" w:after="200" w:line="240" w:lineRule="atLeast"/>
    </w:pPr>
    <w:rPr>
      <w:bCs/>
      <w:color w:val="F79646" w:themeColor="accent6"/>
      <w:sz w:val="17"/>
      <w:lang w:val="en-GB"/>
    </w:rPr>
  </w:style>
  <w:style w:type="paragraph" w:customStyle="1" w:styleId="CaptionChart">
    <w:name w:val="Caption_Chart"/>
    <w:basedOn w:val="Normal"/>
    <w:next w:val="Normal"/>
    <w:uiPriority w:val="4"/>
    <w:rsid w:val="00795B27"/>
    <w:pPr>
      <w:keepNext/>
      <w:keepLines/>
      <w:numPr>
        <w:ilvl w:val="7"/>
        <w:numId w:val="5"/>
      </w:numPr>
      <w:spacing w:before="200" w:after="200" w:line="240" w:lineRule="atLeast"/>
    </w:pPr>
    <w:rPr>
      <w:color w:val="F79646" w:themeColor="accent6"/>
      <w:sz w:val="17"/>
      <w:lang w:val="en-GB"/>
    </w:rPr>
  </w:style>
  <w:style w:type="paragraph" w:styleId="PlainText">
    <w:name w:val="Plain Text"/>
    <w:basedOn w:val="Normal"/>
    <w:link w:val="PlainTextChar"/>
    <w:uiPriority w:val="99"/>
    <w:unhideWhenUsed/>
    <w:rsid w:val="007F6999"/>
    <w:pPr>
      <w:spacing w:before="0" w:after="0" w:line="240" w:lineRule="auto"/>
    </w:pPr>
    <w:rPr>
      <w:rFonts w:ascii="Calibri" w:hAnsi="Calibri"/>
      <w:szCs w:val="21"/>
    </w:rPr>
  </w:style>
  <w:style w:type="character" w:customStyle="1" w:styleId="PlainTextChar">
    <w:name w:val="Plain Text Char"/>
    <w:basedOn w:val="DefaultParagraphFont"/>
    <w:link w:val="PlainText"/>
    <w:uiPriority w:val="99"/>
    <w:rsid w:val="007F6999"/>
    <w:rPr>
      <w:rFonts w:ascii="Calibri" w:hAnsi="Calibri"/>
      <w:szCs w:val="21"/>
    </w:rPr>
  </w:style>
  <w:style w:type="paragraph" w:styleId="TableofFigures">
    <w:name w:val="table of figures"/>
    <w:basedOn w:val="Normal"/>
    <w:next w:val="Normal"/>
    <w:uiPriority w:val="99"/>
    <w:unhideWhenUsed/>
    <w:rsid w:val="00EE5246"/>
    <w:pPr>
      <w:spacing w:after="0"/>
    </w:pPr>
  </w:style>
  <w:style w:type="numbering" w:customStyle="1" w:styleId="Style1">
    <w:name w:val="Style1"/>
    <w:uiPriority w:val="99"/>
    <w:rsid w:val="004C6B51"/>
    <w:pPr>
      <w:numPr>
        <w:numId w:val="7"/>
      </w:numPr>
    </w:pPr>
  </w:style>
  <w:style w:type="table" w:styleId="PlainTable3">
    <w:name w:val="Plain Table 3"/>
    <w:basedOn w:val="TableNormal"/>
    <w:uiPriority w:val="43"/>
    <w:rsid w:val="003A3C03"/>
    <w:pPr>
      <w:spacing w:before="0" w:after="0" w:line="240" w:lineRule="auto"/>
    </w:pPr>
    <w:rPr>
      <w:sz w:val="18"/>
    </w:r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i w:val="0"/>
        <w:caps w:val="0"/>
        <w:smallCaps w:val="0"/>
        <w:sz w:val="18"/>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Style">
    <w:name w:val="Paragraph Style"/>
    <w:basedOn w:val="Normal"/>
    <w:link w:val="ParagraphStyleChar"/>
    <w:qFormat/>
    <w:rsid w:val="003A3C03"/>
    <w:pPr>
      <w:spacing w:before="0" w:after="0" w:line="240" w:lineRule="auto"/>
    </w:pPr>
    <w:rPr>
      <w:rFonts w:ascii="Arial" w:eastAsiaTheme="minorEastAsia" w:hAnsi="Arial" w:cs="Arial"/>
    </w:rPr>
  </w:style>
  <w:style w:type="character" w:customStyle="1" w:styleId="ParagraphStyleChar">
    <w:name w:val="Paragraph Style Char"/>
    <w:basedOn w:val="DefaultParagraphFont"/>
    <w:link w:val="ParagraphStyle"/>
    <w:rsid w:val="003A3C03"/>
    <w:rPr>
      <w:rFonts w:ascii="Arial" w:eastAsiaTheme="minorEastAsia" w:hAnsi="Arial" w:cs="Arial"/>
    </w:rPr>
  </w:style>
  <w:style w:type="paragraph" w:customStyle="1" w:styleId="DotPoint">
    <w:name w:val="Dot Point"/>
    <w:basedOn w:val="Normal"/>
    <w:link w:val="DotPointChar"/>
    <w:qFormat/>
    <w:rsid w:val="00B61463"/>
    <w:pPr>
      <w:numPr>
        <w:numId w:val="31"/>
      </w:numPr>
    </w:pPr>
  </w:style>
  <w:style w:type="character" w:customStyle="1" w:styleId="DotPointChar">
    <w:name w:val="Dot Point Char"/>
    <w:basedOn w:val="DefaultParagraphFont"/>
    <w:link w:val="DotPoint"/>
    <w:rsid w:val="00B61463"/>
  </w:style>
  <w:style w:type="table" w:styleId="GridTable5Dark-Accent4">
    <w:name w:val="Grid Table 5 Dark Accent 4"/>
    <w:basedOn w:val="TableNormal"/>
    <w:uiPriority w:val="50"/>
    <w:rsid w:val="001C00DA"/>
    <w:pPr>
      <w:spacing w:before="14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CA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297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297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297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2976" w:themeFill="accent4"/>
      </w:tcPr>
    </w:tblStylePr>
    <w:tblStylePr w:type="band1Vert">
      <w:tblPr/>
      <w:tcPr>
        <w:shd w:val="clear" w:color="auto" w:fill="D096DA" w:themeFill="accent4" w:themeFillTint="66"/>
      </w:tcPr>
    </w:tblStylePr>
    <w:tblStylePr w:type="band1Horz">
      <w:tblPr/>
      <w:tcPr>
        <w:shd w:val="clear" w:color="auto" w:fill="D096DA" w:themeFill="accent4" w:themeFillTint="66"/>
      </w:tcPr>
    </w:tblStylePr>
  </w:style>
  <w:style w:type="paragraph" w:customStyle="1" w:styleId="msonormal0">
    <w:name w:val="msonormal"/>
    <w:basedOn w:val="Normal"/>
    <w:rsid w:val="00AE0D61"/>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63">
    <w:name w:val="xl63"/>
    <w:basedOn w:val="Normal"/>
    <w:rsid w:val="00AE0D61"/>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Bodytext-Guide">
    <w:name w:val="Body text - Guide"/>
    <w:basedOn w:val="NormalWeb"/>
    <w:link w:val="Bodytext-GuideChar"/>
    <w:rsid w:val="0080661E"/>
    <w:pPr>
      <w:spacing w:before="0" w:after="160" w:line="320" w:lineRule="atLeast"/>
    </w:pPr>
    <w:rPr>
      <w:rFonts w:ascii="Arial" w:hAnsi="Arial" w:cs="Arial"/>
      <w:szCs w:val="18"/>
      <w:lang w:val="en-AU"/>
    </w:rPr>
  </w:style>
  <w:style w:type="character" w:customStyle="1" w:styleId="Bodytext-GuideChar">
    <w:name w:val="Body text - Guide Char"/>
    <w:basedOn w:val="DefaultParagraphFont"/>
    <w:link w:val="Bodytext-Guide"/>
    <w:rsid w:val="0080661E"/>
    <w:rPr>
      <w:rFonts w:ascii="Arial" w:eastAsia="Times New Roman"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41555">
      <w:bodyDiv w:val="1"/>
      <w:marLeft w:val="0"/>
      <w:marRight w:val="0"/>
      <w:marTop w:val="0"/>
      <w:marBottom w:val="0"/>
      <w:divBdr>
        <w:top w:val="none" w:sz="0" w:space="0" w:color="auto"/>
        <w:left w:val="none" w:sz="0" w:space="0" w:color="auto"/>
        <w:bottom w:val="none" w:sz="0" w:space="0" w:color="auto"/>
        <w:right w:val="none" w:sz="0" w:space="0" w:color="auto"/>
      </w:divBdr>
    </w:div>
    <w:div w:id="201670507">
      <w:bodyDiv w:val="1"/>
      <w:marLeft w:val="0"/>
      <w:marRight w:val="0"/>
      <w:marTop w:val="0"/>
      <w:marBottom w:val="0"/>
      <w:divBdr>
        <w:top w:val="none" w:sz="0" w:space="0" w:color="auto"/>
        <w:left w:val="none" w:sz="0" w:space="0" w:color="auto"/>
        <w:bottom w:val="none" w:sz="0" w:space="0" w:color="auto"/>
        <w:right w:val="none" w:sz="0" w:space="0" w:color="auto"/>
      </w:divBdr>
    </w:div>
    <w:div w:id="224684760">
      <w:bodyDiv w:val="1"/>
      <w:marLeft w:val="0"/>
      <w:marRight w:val="0"/>
      <w:marTop w:val="0"/>
      <w:marBottom w:val="0"/>
      <w:divBdr>
        <w:top w:val="none" w:sz="0" w:space="0" w:color="auto"/>
        <w:left w:val="none" w:sz="0" w:space="0" w:color="auto"/>
        <w:bottom w:val="none" w:sz="0" w:space="0" w:color="auto"/>
        <w:right w:val="none" w:sz="0" w:space="0" w:color="auto"/>
      </w:divBdr>
    </w:div>
    <w:div w:id="355348221">
      <w:bodyDiv w:val="1"/>
      <w:marLeft w:val="0"/>
      <w:marRight w:val="0"/>
      <w:marTop w:val="0"/>
      <w:marBottom w:val="0"/>
      <w:divBdr>
        <w:top w:val="none" w:sz="0" w:space="0" w:color="auto"/>
        <w:left w:val="none" w:sz="0" w:space="0" w:color="auto"/>
        <w:bottom w:val="none" w:sz="0" w:space="0" w:color="auto"/>
        <w:right w:val="none" w:sz="0" w:space="0" w:color="auto"/>
      </w:divBdr>
    </w:div>
    <w:div w:id="632175876">
      <w:bodyDiv w:val="1"/>
      <w:marLeft w:val="0"/>
      <w:marRight w:val="0"/>
      <w:marTop w:val="0"/>
      <w:marBottom w:val="0"/>
      <w:divBdr>
        <w:top w:val="none" w:sz="0" w:space="0" w:color="auto"/>
        <w:left w:val="none" w:sz="0" w:space="0" w:color="auto"/>
        <w:bottom w:val="none" w:sz="0" w:space="0" w:color="auto"/>
        <w:right w:val="none" w:sz="0" w:space="0" w:color="auto"/>
      </w:divBdr>
    </w:div>
    <w:div w:id="676545503">
      <w:bodyDiv w:val="1"/>
      <w:marLeft w:val="0"/>
      <w:marRight w:val="0"/>
      <w:marTop w:val="0"/>
      <w:marBottom w:val="0"/>
      <w:divBdr>
        <w:top w:val="none" w:sz="0" w:space="0" w:color="auto"/>
        <w:left w:val="none" w:sz="0" w:space="0" w:color="auto"/>
        <w:bottom w:val="none" w:sz="0" w:space="0" w:color="auto"/>
        <w:right w:val="none" w:sz="0" w:space="0" w:color="auto"/>
      </w:divBdr>
    </w:div>
    <w:div w:id="848716817">
      <w:bodyDiv w:val="1"/>
      <w:marLeft w:val="0"/>
      <w:marRight w:val="0"/>
      <w:marTop w:val="0"/>
      <w:marBottom w:val="0"/>
      <w:divBdr>
        <w:top w:val="none" w:sz="0" w:space="0" w:color="auto"/>
        <w:left w:val="none" w:sz="0" w:space="0" w:color="auto"/>
        <w:bottom w:val="none" w:sz="0" w:space="0" w:color="auto"/>
        <w:right w:val="none" w:sz="0" w:space="0" w:color="auto"/>
      </w:divBdr>
    </w:div>
    <w:div w:id="859858740">
      <w:bodyDiv w:val="1"/>
      <w:marLeft w:val="0"/>
      <w:marRight w:val="0"/>
      <w:marTop w:val="0"/>
      <w:marBottom w:val="0"/>
      <w:divBdr>
        <w:top w:val="none" w:sz="0" w:space="0" w:color="auto"/>
        <w:left w:val="none" w:sz="0" w:space="0" w:color="auto"/>
        <w:bottom w:val="none" w:sz="0" w:space="0" w:color="auto"/>
        <w:right w:val="none" w:sz="0" w:space="0" w:color="auto"/>
      </w:divBdr>
    </w:div>
    <w:div w:id="867523323">
      <w:bodyDiv w:val="1"/>
      <w:marLeft w:val="0"/>
      <w:marRight w:val="0"/>
      <w:marTop w:val="0"/>
      <w:marBottom w:val="0"/>
      <w:divBdr>
        <w:top w:val="none" w:sz="0" w:space="0" w:color="auto"/>
        <w:left w:val="none" w:sz="0" w:space="0" w:color="auto"/>
        <w:bottom w:val="none" w:sz="0" w:space="0" w:color="auto"/>
        <w:right w:val="none" w:sz="0" w:space="0" w:color="auto"/>
      </w:divBdr>
    </w:div>
    <w:div w:id="901329706">
      <w:bodyDiv w:val="1"/>
      <w:marLeft w:val="0"/>
      <w:marRight w:val="0"/>
      <w:marTop w:val="0"/>
      <w:marBottom w:val="0"/>
      <w:divBdr>
        <w:top w:val="none" w:sz="0" w:space="0" w:color="auto"/>
        <w:left w:val="none" w:sz="0" w:space="0" w:color="auto"/>
        <w:bottom w:val="none" w:sz="0" w:space="0" w:color="auto"/>
        <w:right w:val="none" w:sz="0" w:space="0" w:color="auto"/>
      </w:divBdr>
    </w:div>
    <w:div w:id="1110130563">
      <w:bodyDiv w:val="1"/>
      <w:marLeft w:val="0"/>
      <w:marRight w:val="0"/>
      <w:marTop w:val="0"/>
      <w:marBottom w:val="0"/>
      <w:divBdr>
        <w:top w:val="none" w:sz="0" w:space="0" w:color="auto"/>
        <w:left w:val="none" w:sz="0" w:space="0" w:color="auto"/>
        <w:bottom w:val="none" w:sz="0" w:space="0" w:color="auto"/>
        <w:right w:val="none" w:sz="0" w:space="0" w:color="auto"/>
      </w:divBdr>
    </w:div>
    <w:div w:id="1233391197">
      <w:bodyDiv w:val="1"/>
      <w:marLeft w:val="0"/>
      <w:marRight w:val="0"/>
      <w:marTop w:val="0"/>
      <w:marBottom w:val="0"/>
      <w:divBdr>
        <w:top w:val="none" w:sz="0" w:space="0" w:color="auto"/>
        <w:left w:val="none" w:sz="0" w:space="0" w:color="auto"/>
        <w:bottom w:val="none" w:sz="0" w:space="0" w:color="auto"/>
        <w:right w:val="none" w:sz="0" w:space="0" w:color="auto"/>
      </w:divBdr>
    </w:div>
    <w:div w:id="1396901431">
      <w:bodyDiv w:val="1"/>
      <w:marLeft w:val="0"/>
      <w:marRight w:val="0"/>
      <w:marTop w:val="0"/>
      <w:marBottom w:val="0"/>
      <w:divBdr>
        <w:top w:val="none" w:sz="0" w:space="0" w:color="auto"/>
        <w:left w:val="none" w:sz="0" w:space="0" w:color="auto"/>
        <w:bottom w:val="none" w:sz="0" w:space="0" w:color="auto"/>
        <w:right w:val="none" w:sz="0" w:space="0" w:color="auto"/>
      </w:divBdr>
    </w:div>
    <w:div w:id="1460221759">
      <w:bodyDiv w:val="1"/>
      <w:marLeft w:val="0"/>
      <w:marRight w:val="0"/>
      <w:marTop w:val="0"/>
      <w:marBottom w:val="0"/>
      <w:divBdr>
        <w:top w:val="none" w:sz="0" w:space="0" w:color="auto"/>
        <w:left w:val="none" w:sz="0" w:space="0" w:color="auto"/>
        <w:bottom w:val="none" w:sz="0" w:space="0" w:color="auto"/>
        <w:right w:val="none" w:sz="0" w:space="0" w:color="auto"/>
      </w:divBdr>
    </w:div>
    <w:div w:id="1739287263">
      <w:bodyDiv w:val="1"/>
      <w:marLeft w:val="0"/>
      <w:marRight w:val="0"/>
      <w:marTop w:val="0"/>
      <w:marBottom w:val="0"/>
      <w:divBdr>
        <w:top w:val="none" w:sz="0" w:space="0" w:color="auto"/>
        <w:left w:val="none" w:sz="0" w:space="0" w:color="auto"/>
        <w:bottom w:val="none" w:sz="0" w:space="0" w:color="auto"/>
        <w:right w:val="none" w:sz="0" w:space="0" w:color="auto"/>
      </w:divBdr>
    </w:div>
    <w:div w:id="1785925294">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25383081">
      <w:bodyDiv w:val="1"/>
      <w:marLeft w:val="0"/>
      <w:marRight w:val="0"/>
      <w:marTop w:val="0"/>
      <w:marBottom w:val="0"/>
      <w:divBdr>
        <w:top w:val="none" w:sz="0" w:space="0" w:color="auto"/>
        <w:left w:val="none" w:sz="0" w:space="0" w:color="auto"/>
        <w:bottom w:val="none" w:sz="0" w:space="0" w:color="auto"/>
        <w:right w:val="none" w:sz="0" w:space="0" w:color="auto"/>
      </w:divBdr>
    </w:div>
    <w:div w:id="2045907760">
      <w:bodyDiv w:val="1"/>
      <w:marLeft w:val="0"/>
      <w:marRight w:val="0"/>
      <w:marTop w:val="0"/>
      <w:marBottom w:val="0"/>
      <w:divBdr>
        <w:top w:val="none" w:sz="0" w:space="0" w:color="auto"/>
        <w:left w:val="none" w:sz="0" w:space="0" w:color="auto"/>
        <w:bottom w:val="none" w:sz="0" w:space="0" w:color="auto"/>
        <w:right w:val="none" w:sz="0" w:space="0" w:color="auto"/>
      </w:divBdr>
    </w:div>
    <w:div w:id="21078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fairwork.gov.au/leave/annual-leave" TargetMode="External"/><Relationship Id="rId3" Type="http://schemas.openxmlformats.org/officeDocument/2006/relationships/customXml" Target="../customXml/item3.xml"/><Relationship Id="rId21" Type="http://schemas.openxmlformats.org/officeDocument/2006/relationships/hyperlink" Target="https://www.ndis.gov.au/media/1820/download"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ndis.gov.au/providers/price-guides-and-pricing" TargetMode="External"/><Relationship Id="rId25" Type="http://schemas.openxmlformats.org/officeDocument/2006/relationships/hyperlink" Target="https://www.fairwork.gov.au/employee-entitlements/national-employment-standard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0" Type="http://schemas.openxmlformats.org/officeDocument/2006/relationships/hyperlink" Target="https://www.ndis.gov.au/media/1662/download" TargetMode="External"/><Relationship Id="rId29" Type="http://schemas.openxmlformats.org/officeDocument/2006/relationships/hyperlink" Target="https://www.fairwork.gov.au/leave/long-service-lea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airwork.gov.au/ArticleDocuments/872/social-community-home-care-and-disability-services-industry-award-ma000100-pay-guide.pdf.aspx" TargetMode="External"/><Relationship Id="rId32" Type="http://schemas.openxmlformats.org/officeDocument/2006/relationships/hyperlink" Target="https://www.fairwork.gov.au/pay/minimum-wages/social-and-community-services-industry-pay-rat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awardviewer.fwo.gov.au/award/show/MA000100" TargetMode="External"/><Relationship Id="rId28" Type="http://schemas.openxmlformats.org/officeDocument/2006/relationships/hyperlink" Target="https://www.fairwork.gov.au/leave/sick-and-carers-leave/paid-sick-and-carers-leave"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ndis.gov.au/providers/price-guides-and-pric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ndis.gov.au/media/2413/download" TargetMode="External"/><Relationship Id="rId27" Type="http://schemas.openxmlformats.org/officeDocument/2006/relationships/hyperlink" Target="https://www.fairwork.gov.au/leave/public-holidays" TargetMode="External"/><Relationship Id="rId30" Type="http://schemas.openxmlformats.org/officeDocument/2006/relationships/hyperlink" Target="https://www.ato.gov.au/Business/Super-for-employers/How-much-to-pa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fairwork.gov.au/leave/public-holidays" TargetMode="External"/><Relationship Id="rId13" Type="http://schemas.openxmlformats.org/officeDocument/2006/relationships/hyperlink" Target="https://www.fairwork.gov.au/pay/minimum-wages/social-and-community-services-industry-pay-rates" TargetMode="External"/><Relationship Id="rId3" Type="http://schemas.openxmlformats.org/officeDocument/2006/relationships/hyperlink" Target="https://www.ndis.gov.au/media/2413/download" TargetMode="External"/><Relationship Id="rId7" Type="http://schemas.openxmlformats.org/officeDocument/2006/relationships/hyperlink" Target="https://www.fairwork.gov.au/leave/annual-leave" TargetMode="External"/><Relationship Id="rId12" Type="http://schemas.openxmlformats.org/officeDocument/2006/relationships/hyperlink" Target="https://www.ndis.gov.au/providers/price-guides-and-pricing" TargetMode="External"/><Relationship Id="rId2" Type="http://schemas.openxmlformats.org/officeDocument/2006/relationships/hyperlink" Target="https://www.ndis.gov.au/media/1820/download" TargetMode="External"/><Relationship Id="rId1" Type="http://schemas.openxmlformats.org/officeDocument/2006/relationships/hyperlink" Target="https://www.ndis.gov.au/media/1662/download" TargetMode="External"/><Relationship Id="rId6" Type="http://schemas.openxmlformats.org/officeDocument/2006/relationships/hyperlink" Target="https://www.fairwork.gov.au/employee-entitlements/national-employment-standards" TargetMode="External"/><Relationship Id="rId11" Type="http://schemas.openxmlformats.org/officeDocument/2006/relationships/hyperlink" Target="https://www.ato.gov.au/Business/Super-for-employers/How-much-to-pay/" TargetMode="External"/><Relationship Id="rId5" Type="http://schemas.openxmlformats.org/officeDocument/2006/relationships/hyperlink" Target="https://www.fairwork.gov.au/ArticleDocuments/872/social-community-home-care-and-disability-services-industry-award-ma000100-pay-guide.pdf.aspx" TargetMode="External"/><Relationship Id="rId10" Type="http://schemas.openxmlformats.org/officeDocument/2006/relationships/hyperlink" Target="https://www.fairwork.gov.au/leave/long-service-leave" TargetMode="External"/><Relationship Id="rId4" Type="http://schemas.openxmlformats.org/officeDocument/2006/relationships/hyperlink" Target="http://awardviewer.fwo.gov.au/award/show/MA000100" TargetMode="External"/><Relationship Id="rId9" Type="http://schemas.openxmlformats.org/officeDocument/2006/relationships/hyperlink" Target="https://www.fairwork.gov.au/leave/sick-and-carers-leave/paid-sick-and-carers-leave"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9411BC2-29CE-425F-89DD-370F44A9F0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A0DF810D4D2DE4D8C9071BFFBCD0C65" ma:contentTypeVersion="" ma:contentTypeDescription="PDMS Document Site Content Type" ma:contentTypeScope="" ma:versionID="cc104b34525e37867d3300de838720ff">
  <xsd:schema xmlns:xsd="http://www.w3.org/2001/XMLSchema" xmlns:xs="http://www.w3.org/2001/XMLSchema" xmlns:p="http://schemas.microsoft.com/office/2006/metadata/properties" xmlns:ns2="A9411BC2-29CE-425F-89DD-370F44A9F0D7" targetNamespace="http://schemas.microsoft.com/office/2006/metadata/properties" ma:root="true" ma:fieldsID="65c83b984978257802c6b3ae206e081a" ns2:_="">
    <xsd:import namespace="A9411BC2-29CE-425F-89DD-370F44A9F0D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11BC2-29CE-425F-89DD-370F44A9F0D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9411BC2-29CE-425F-89DD-370F44A9F0D7"/>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A76F080-F38E-4D9A-BFBB-A88BC49FA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11BC2-29CE-425F-89DD-370F44A9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46264F0C-4C8C-4B7B-9080-2DA0C8E48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11901</Words>
  <Characters>67837</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79579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CULLEN, David</dc:creator>
  <cp:keywords/>
  <dc:description/>
  <cp:lastModifiedBy>Rundle, Vincent</cp:lastModifiedBy>
  <cp:revision>4</cp:revision>
  <cp:lastPrinted>2020-11-11T06:23:00Z</cp:lastPrinted>
  <dcterms:created xsi:type="dcterms:W3CDTF">2020-07-28T02:09:00Z</dcterms:created>
  <dcterms:modified xsi:type="dcterms:W3CDTF">2020-11-11T06:23:00Z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0x010100266966F133664895A6EE3632470D45F500DA0DF810D4D2DE4D8C9071BFFBCD0C65</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ies>
</file>