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7A9" w:rsidRPr="00D83023" w:rsidRDefault="006347A9" w:rsidP="00D83023"/>
    <w:p w:rsidR="006347A9" w:rsidRPr="00D83023" w:rsidRDefault="006347A9" w:rsidP="00D83023"/>
    <w:p w:rsidR="006347A9" w:rsidRPr="006930D6" w:rsidRDefault="006347A9" w:rsidP="007C1BB9">
      <w:pPr>
        <w:jc w:val="center"/>
        <w:rPr>
          <w:rStyle w:val="BookTitle"/>
          <w:sz w:val="96"/>
        </w:rPr>
      </w:pPr>
      <w:r w:rsidRPr="001447FE">
        <w:rPr>
          <w:rStyle w:val="BookTitle"/>
          <w:b/>
          <w:sz w:val="96"/>
        </w:rPr>
        <w:t xml:space="preserve">NDIS </w:t>
      </w:r>
      <w:r w:rsidR="00FA13D1" w:rsidRPr="001447FE">
        <w:rPr>
          <w:rStyle w:val="BookTitle"/>
          <w:b/>
          <w:sz w:val="96"/>
        </w:rPr>
        <w:t>Price Guide</w:t>
      </w:r>
    </w:p>
    <w:p w:rsidR="00BD1FAA" w:rsidRPr="008D0B4C" w:rsidRDefault="007F25CE" w:rsidP="00BD1FAA">
      <w:pPr>
        <w:jc w:val="center"/>
        <w:rPr>
          <w:rStyle w:val="BookTitle"/>
          <w:rFonts w:eastAsiaTheme="majorEastAsia" w:cstheme="majorBidi"/>
          <w:b/>
          <w:bCs/>
          <w:sz w:val="72"/>
          <w:szCs w:val="28"/>
        </w:rPr>
      </w:pPr>
      <w:r>
        <w:rPr>
          <w:rStyle w:val="BookTitle"/>
          <w:rFonts w:eastAsiaTheme="majorEastAsia" w:cstheme="majorBidi"/>
          <w:b/>
          <w:bCs/>
          <w:sz w:val="72"/>
          <w:szCs w:val="28"/>
        </w:rPr>
        <w:t xml:space="preserve">Specialist Disability </w:t>
      </w:r>
      <w:r w:rsidR="006E5C22">
        <w:rPr>
          <w:rStyle w:val="BookTitle"/>
          <w:rFonts w:eastAsiaTheme="majorEastAsia" w:cstheme="majorBidi"/>
          <w:b/>
          <w:bCs/>
          <w:sz w:val="72"/>
          <w:szCs w:val="28"/>
        </w:rPr>
        <w:t>Accommodation</w:t>
      </w:r>
    </w:p>
    <w:p w:rsidR="00CD47AC" w:rsidRDefault="008D0B4C" w:rsidP="00BD1FAA">
      <w:pPr>
        <w:jc w:val="center"/>
        <w:rPr>
          <w:rStyle w:val="BookTitle"/>
          <w:rFonts w:eastAsiaTheme="majorEastAsia" w:cstheme="majorBidi"/>
          <w:b/>
          <w:bCs/>
          <w:sz w:val="72"/>
          <w:szCs w:val="28"/>
        </w:rPr>
      </w:pPr>
      <w:r w:rsidRPr="008D0B4C">
        <w:rPr>
          <w:rStyle w:val="BookTitle"/>
          <w:rFonts w:eastAsiaTheme="majorEastAsia" w:cstheme="majorBidi"/>
          <w:b/>
          <w:bCs/>
          <w:sz w:val="48"/>
          <w:szCs w:val="28"/>
        </w:rPr>
        <w:t xml:space="preserve">Valid from: </w:t>
      </w:r>
      <w:r w:rsidR="00FD7654">
        <w:rPr>
          <w:rStyle w:val="BookTitle"/>
          <w:rFonts w:eastAsiaTheme="majorEastAsia" w:cstheme="majorBidi"/>
          <w:b/>
          <w:bCs/>
          <w:sz w:val="48"/>
          <w:szCs w:val="28"/>
        </w:rPr>
        <w:t>1 April</w:t>
      </w:r>
      <w:r w:rsidR="00CD47AC">
        <w:rPr>
          <w:rStyle w:val="BookTitle"/>
          <w:rFonts w:eastAsiaTheme="majorEastAsia" w:cstheme="majorBidi"/>
          <w:b/>
          <w:bCs/>
          <w:sz w:val="48"/>
          <w:szCs w:val="28"/>
        </w:rPr>
        <w:t xml:space="preserve"> </w:t>
      </w:r>
      <w:r w:rsidRPr="008D0B4C">
        <w:rPr>
          <w:rStyle w:val="BookTitle"/>
          <w:rFonts w:eastAsiaTheme="majorEastAsia" w:cstheme="majorBidi"/>
          <w:b/>
          <w:bCs/>
          <w:sz w:val="48"/>
          <w:szCs w:val="28"/>
        </w:rPr>
        <w:t>201</w:t>
      </w:r>
      <w:r w:rsidR="000A23FF">
        <w:rPr>
          <w:rStyle w:val="BookTitle"/>
          <w:rFonts w:eastAsiaTheme="majorEastAsia" w:cstheme="majorBidi"/>
          <w:b/>
          <w:bCs/>
          <w:sz w:val="48"/>
          <w:szCs w:val="28"/>
        </w:rPr>
        <w:t>7</w:t>
      </w:r>
    </w:p>
    <w:p w:rsidR="008D0B4C" w:rsidRPr="008D0B4C" w:rsidRDefault="008D0B4C" w:rsidP="002B631F">
      <w:pPr>
        <w:spacing w:before="6000"/>
        <w:jc w:val="center"/>
        <w:rPr>
          <w:rStyle w:val="BookTitle"/>
          <w:rFonts w:eastAsiaTheme="majorEastAsia" w:cstheme="majorBidi"/>
          <w:b/>
          <w:bCs/>
          <w:sz w:val="72"/>
          <w:szCs w:val="28"/>
        </w:rPr>
      </w:pPr>
      <w:r w:rsidRPr="008D0B4C">
        <w:rPr>
          <w:rStyle w:val="BookTitle"/>
          <w:rFonts w:eastAsiaTheme="majorEastAsia" w:cstheme="majorBidi"/>
          <w:b/>
          <w:bCs/>
          <w:color w:val="auto"/>
          <w:sz w:val="36"/>
          <w:szCs w:val="28"/>
        </w:rPr>
        <w:t xml:space="preserve">Version release date: </w:t>
      </w:r>
      <w:r w:rsidR="00FD7654">
        <w:rPr>
          <w:rStyle w:val="BookTitle"/>
          <w:rFonts w:eastAsiaTheme="majorEastAsia" w:cstheme="majorBidi"/>
          <w:b/>
          <w:bCs/>
          <w:color w:val="auto"/>
          <w:sz w:val="36"/>
          <w:szCs w:val="28"/>
        </w:rPr>
        <w:t xml:space="preserve">1 April </w:t>
      </w:r>
      <w:r w:rsidRPr="008D0B4C">
        <w:rPr>
          <w:rStyle w:val="BookTitle"/>
          <w:rFonts w:eastAsiaTheme="majorEastAsia" w:cstheme="majorBidi"/>
          <w:b/>
          <w:bCs/>
          <w:color w:val="auto"/>
          <w:sz w:val="36"/>
          <w:szCs w:val="28"/>
        </w:rPr>
        <w:t>201</w:t>
      </w:r>
      <w:r w:rsidR="000A23FF">
        <w:rPr>
          <w:rStyle w:val="BookTitle"/>
          <w:rFonts w:eastAsiaTheme="majorEastAsia" w:cstheme="majorBidi"/>
          <w:b/>
          <w:bCs/>
          <w:color w:val="auto"/>
          <w:sz w:val="36"/>
          <w:szCs w:val="28"/>
        </w:rPr>
        <w:t>7</w:t>
      </w:r>
    </w:p>
    <w:p w:rsidR="008D0B4C" w:rsidRDefault="008D0B4C" w:rsidP="00BD1FAA">
      <w:pPr>
        <w:jc w:val="center"/>
        <w:rPr>
          <w:rStyle w:val="BookTitle"/>
          <w:rFonts w:eastAsiaTheme="majorEastAsia" w:cstheme="majorBidi"/>
          <w:b/>
          <w:bCs/>
          <w:sz w:val="44"/>
          <w:szCs w:val="28"/>
        </w:rPr>
      </w:pPr>
    </w:p>
    <w:p w:rsidR="006347A9" w:rsidRDefault="006347A9">
      <w:pPr>
        <w:spacing w:after="200"/>
        <w:rPr>
          <w:rFonts w:eastAsiaTheme="majorEastAsia" w:cstheme="majorBidi"/>
          <w:b/>
          <w:bCs/>
          <w:iCs/>
        </w:rPr>
      </w:pPr>
      <w:r>
        <w:br w:type="page"/>
      </w:r>
    </w:p>
    <w:sdt>
      <w:sdtPr>
        <w:rPr>
          <w:rFonts w:eastAsiaTheme="minorHAnsi" w:cstheme="minorBidi"/>
          <w:b w:val="0"/>
          <w:bCs w:val="0"/>
          <w:color w:val="auto"/>
          <w:sz w:val="22"/>
          <w:szCs w:val="22"/>
          <w:lang w:bidi="ar-SA"/>
        </w:rPr>
        <w:id w:val="-1825274398"/>
        <w:docPartObj>
          <w:docPartGallery w:val="Table of Contents"/>
          <w:docPartUnique/>
        </w:docPartObj>
      </w:sdtPr>
      <w:sdtEndPr>
        <w:rPr>
          <w:noProof/>
          <w:sz w:val="24"/>
        </w:rPr>
      </w:sdtEndPr>
      <w:sdtContent>
        <w:p w:rsidR="006A4DEB" w:rsidRDefault="006A4DEB">
          <w:pPr>
            <w:pStyle w:val="TOCHeading"/>
          </w:pPr>
          <w:r>
            <w:t>Table of Contents</w:t>
          </w:r>
        </w:p>
        <w:p w:rsidR="00B74B5B" w:rsidRDefault="00716277">
          <w:pPr>
            <w:pStyle w:val="TOC1"/>
            <w:tabs>
              <w:tab w:val="right" w:leader="dot" w:pos="10456"/>
            </w:tabs>
            <w:rPr>
              <w:rFonts w:cstheme="minorBidi"/>
              <w:noProof/>
              <w:sz w:val="22"/>
              <w:lang w:val="en-AU" w:eastAsia="en-AU"/>
            </w:rPr>
          </w:pPr>
          <w:r>
            <w:fldChar w:fldCharType="begin"/>
          </w:r>
          <w:r>
            <w:instrText xml:space="preserve"> TOC \h \z \t "Heading 1,1,Heading 2,2" </w:instrText>
          </w:r>
          <w:r>
            <w:fldChar w:fldCharType="separate"/>
          </w:r>
          <w:hyperlink w:anchor="_Toc477352074" w:history="1">
            <w:r w:rsidR="00B74B5B" w:rsidRPr="00192334">
              <w:rPr>
                <w:rStyle w:val="Hyperlink"/>
                <w:noProof/>
              </w:rPr>
              <w:t>NDIS Price Guide for Specialist Disability Accommodation</w:t>
            </w:r>
            <w:r w:rsidR="00B74B5B">
              <w:rPr>
                <w:noProof/>
                <w:webHidden/>
              </w:rPr>
              <w:tab/>
            </w:r>
            <w:r w:rsidR="00B74B5B">
              <w:rPr>
                <w:noProof/>
                <w:webHidden/>
              </w:rPr>
              <w:fldChar w:fldCharType="begin"/>
            </w:r>
            <w:r w:rsidR="00B74B5B">
              <w:rPr>
                <w:noProof/>
                <w:webHidden/>
              </w:rPr>
              <w:instrText xml:space="preserve"> PAGEREF _Toc477352074 \h </w:instrText>
            </w:r>
            <w:r w:rsidR="00B74B5B">
              <w:rPr>
                <w:noProof/>
                <w:webHidden/>
              </w:rPr>
            </w:r>
            <w:r w:rsidR="00B74B5B">
              <w:rPr>
                <w:noProof/>
                <w:webHidden/>
              </w:rPr>
              <w:fldChar w:fldCharType="separate"/>
            </w:r>
            <w:r w:rsidR="00B74B5B">
              <w:rPr>
                <w:noProof/>
                <w:webHidden/>
              </w:rPr>
              <w:t>3</w:t>
            </w:r>
            <w:r w:rsidR="00B74B5B">
              <w:rPr>
                <w:noProof/>
                <w:webHidden/>
              </w:rPr>
              <w:fldChar w:fldCharType="end"/>
            </w:r>
          </w:hyperlink>
        </w:p>
        <w:p w:rsidR="00B74B5B" w:rsidRDefault="00FB0532">
          <w:pPr>
            <w:pStyle w:val="TOC2"/>
            <w:tabs>
              <w:tab w:val="right" w:leader="dot" w:pos="10456"/>
            </w:tabs>
            <w:rPr>
              <w:rFonts w:cstheme="minorBidi"/>
              <w:noProof/>
              <w:sz w:val="22"/>
              <w:lang w:val="en-AU" w:eastAsia="en-AU"/>
            </w:rPr>
          </w:pPr>
          <w:hyperlink w:anchor="_Toc477352075" w:history="1">
            <w:r w:rsidR="00B74B5B" w:rsidRPr="00192334">
              <w:rPr>
                <w:rStyle w:val="Hyperlink"/>
                <w:noProof/>
              </w:rPr>
              <w:t>Specialist Disability Accommodation</w:t>
            </w:r>
            <w:r w:rsidR="00B74B5B">
              <w:rPr>
                <w:noProof/>
                <w:webHidden/>
              </w:rPr>
              <w:tab/>
            </w:r>
            <w:r w:rsidR="00B74B5B">
              <w:rPr>
                <w:noProof/>
                <w:webHidden/>
              </w:rPr>
              <w:fldChar w:fldCharType="begin"/>
            </w:r>
            <w:r w:rsidR="00B74B5B">
              <w:rPr>
                <w:noProof/>
                <w:webHidden/>
              </w:rPr>
              <w:instrText xml:space="preserve"> PAGEREF _Toc477352075 \h </w:instrText>
            </w:r>
            <w:r w:rsidR="00B74B5B">
              <w:rPr>
                <w:noProof/>
                <w:webHidden/>
              </w:rPr>
            </w:r>
            <w:r w:rsidR="00B74B5B">
              <w:rPr>
                <w:noProof/>
                <w:webHidden/>
              </w:rPr>
              <w:fldChar w:fldCharType="separate"/>
            </w:r>
            <w:r w:rsidR="00B74B5B">
              <w:rPr>
                <w:noProof/>
                <w:webHidden/>
              </w:rPr>
              <w:t>4</w:t>
            </w:r>
            <w:r w:rsidR="00B74B5B">
              <w:rPr>
                <w:noProof/>
                <w:webHidden/>
              </w:rPr>
              <w:fldChar w:fldCharType="end"/>
            </w:r>
          </w:hyperlink>
        </w:p>
        <w:p w:rsidR="00B74B5B" w:rsidRDefault="00FB0532">
          <w:pPr>
            <w:pStyle w:val="TOC2"/>
            <w:tabs>
              <w:tab w:val="right" w:leader="dot" w:pos="10456"/>
            </w:tabs>
            <w:rPr>
              <w:rFonts w:cstheme="minorBidi"/>
              <w:noProof/>
              <w:sz w:val="22"/>
              <w:lang w:val="en-AU" w:eastAsia="en-AU"/>
            </w:rPr>
          </w:pPr>
          <w:hyperlink w:anchor="_Toc477352076" w:history="1">
            <w:r w:rsidR="00B74B5B" w:rsidRPr="00192334">
              <w:rPr>
                <w:rStyle w:val="Hyperlink"/>
                <w:noProof/>
              </w:rPr>
              <w:t>Claiming payment for SDA</w:t>
            </w:r>
            <w:r w:rsidR="00B74B5B">
              <w:rPr>
                <w:noProof/>
                <w:webHidden/>
              </w:rPr>
              <w:tab/>
            </w:r>
            <w:r w:rsidR="00B74B5B">
              <w:rPr>
                <w:noProof/>
                <w:webHidden/>
              </w:rPr>
              <w:fldChar w:fldCharType="begin"/>
            </w:r>
            <w:r w:rsidR="00B74B5B">
              <w:rPr>
                <w:noProof/>
                <w:webHidden/>
              </w:rPr>
              <w:instrText xml:space="preserve"> PAGEREF _Toc477352076 \h </w:instrText>
            </w:r>
            <w:r w:rsidR="00B74B5B">
              <w:rPr>
                <w:noProof/>
                <w:webHidden/>
              </w:rPr>
            </w:r>
            <w:r w:rsidR="00B74B5B">
              <w:rPr>
                <w:noProof/>
                <w:webHidden/>
              </w:rPr>
              <w:fldChar w:fldCharType="separate"/>
            </w:r>
            <w:r w:rsidR="00B74B5B">
              <w:rPr>
                <w:noProof/>
                <w:webHidden/>
              </w:rPr>
              <w:t>4</w:t>
            </w:r>
            <w:r w:rsidR="00B74B5B">
              <w:rPr>
                <w:noProof/>
                <w:webHidden/>
              </w:rPr>
              <w:fldChar w:fldCharType="end"/>
            </w:r>
          </w:hyperlink>
        </w:p>
        <w:p w:rsidR="00B74B5B" w:rsidRDefault="00FB0532">
          <w:pPr>
            <w:pStyle w:val="TOC1"/>
            <w:tabs>
              <w:tab w:val="right" w:leader="dot" w:pos="10456"/>
            </w:tabs>
            <w:rPr>
              <w:rFonts w:cstheme="minorBidi"/>
              <w:noProof/>
              <w:sz w:val="22"/>
              <w:lang w:val="en-AU" w:eastAsia="en-AU"/>
            </w:rPr>
          </w:pPr>
          <w:hyperlink w:anchor="_Toc477352077" w:history="1">
            <w:r w:rsidR="00B74B5B" w:rsidRPr="00192334">
              <w:rPr>
                <w:rStyle w:val="Hyperlink"/>
                <w:noProof/>
              </w:rPr>
              <w:t>Calculation of the SDA price for a dwelling</w:t>
            </w:r>
            <w:r w:rsidR="00B74B5B">
              <w:rPr>
                <w:noProof/>
                <w:webHidden/>
              </w:rPr>
              <w:tab/>
            </w:r>
            <w:r w:rsidR="00B74B5B">
              <w:rPr>
                <w:noProof/>
                <w:webHidden/>
              </w:rPr>
              <w:fldChar w:fldCharType="begin"/>
            </w:r>
            <w:r w:rsidR="00B74B5B">
              <w:rPr>
                <w:noProof/>
                <w:webHidden/>
              </w:rPr>
              <w:instrText xml:space="preserve"> PAGEREF _Toc477352077 \h </w:instrText>
            </w:r>
            <w:r w:rsidR="00B74B5B">
              <w:rPr>
                <w:noProof/>
                <w:webHidden/>
              </w:rPr>
            </w:r>
            <w:r w:rsidR="00B74B5B">
              <w:rPr>
                <w:noProof/>
                <w:webHidden/>
              </w:rPr>
              <w:fldChar w:fldCharType="separate"/>
            </w:r>
            <w:r w:rsidR="00B74B5B">
              <w:rPr>
                <w:noProof/>
                <w:webHidden/>
              </w:rPr>
              <w:t>7</w:t>
            </w:r>
            <w:r w:rsidR="00B74B5B">
              <w:rPr>
                <w:noProof/>
                <w:webHidden/>
              </w:rPr>
              <w:fldChar w:fldCharType="end"/>
            </w:r>
          </w:hyperlink>
        </w:p>
        <w:p w:rsidR="00B74B5B" w:rsidRDefault="00FB0532">
          <w:pPr>
            <w:pStyle w:val="TOC2"/>
            <w:tabs>
              <w:tab w:val="right" w:leader="dot" w:pos="10456"/>
            </w:tabs>
            <w:rPr>
              <w:rFonts w:cstheme="minorBidi"/>
              <w:noProof/>
              <w:sz w:val="22"/>
              <w:lang w:val="en-AU" w:eastAsia="en-AU"/>
            </w:rPr>
          </w:pPr>
          <w:hyperlink w:anchor="_Toc477352078" w:history="1">
            <w:r w:rsidR="00B74B5B" w:rsidRPr="00192334">
              <w:rPr>
                <w:rStyle w:val="Hyperlink"/>
                <w:noProof/>
              </w:rPr>
              <w:t>Step 1: Determine whether the dwelling is a New Build, Existing Stock or Legacy Stock</w:t>
            </w:r>
            <w:r w:rsidR="00B74B5B">
              <w:rPr>
                <w:noProof/>
                <w:webHidden/>
              </w:rPr>
              <w:tab/>
            </w:r>
            <w:r w:rsidR="00B74B5B">
              <w:rPr>
                <w:noProof/>
                <w:webHidden/>
              </w:rPr>
              <w:fldChar w:fldCharType="begin"/>
            </w:r>
            <w:r w:rsidR="00B74B5B">
              <w:rPr>
                <w:noProof/>
                <w:webHidden/>
              </w:rPr>
              <w:instrText xml:space="preserve"> PAGEREF _Toc477352078 \h </w:instrText>
            </w:r>
            <w:r w:rsidR="00B74B5B">
              <w:rPr>
                <w:noProof/>
                <w:webHidden/>
              </w:rPr>
            </w:r>
            <w:r w:rsidR="00B74B5B">
              <w:rPr>
                <w:noProof/>
                <w:webHidden/>
              </w:rPr>
              <w:fldChar w:fldCharType="separate"/>
            </w:r>
            <w:r w:rsidR="00B74B5B">
              <w:rPr>
                <w:noProof/>
                <w:webHidden/>
              </w:rPr>
              <w:t>8</w:t>
            </w:r>
            <w:r w:rsidR="00B74B5B">
              <w:rPr>
                <w:noProof/>
                <w:webHidden/>
              </w:rPr>
              <w:fldChar w:fldCharType="end"/>
            </w:r>
          </w:hyperlink>
        </w:p>
        <w:p w:rsidR="00B74B5B" w:rsidRDefault="00FB0532">
          <w:pPr>
            <w:pStyle w:val="TOC2"/>
            <w:tabs>
              <w:tab w:val="right" w:leader="dot" w:pos="10456"/>
            </w:tabs>
            <w:rPr>
              <w:rFonts w:cstheme="minorBidi"/>
              <w:noProof/>
              <w:sz w:val="22"/>
              <w:lang w:val="en-AU" w:eastAsia="en-AU"/>
            </w:rPr>
          </w:pPr>
          <w:hyperlink w:anchor="_Toc477352079" w:history="1">
            <w:r w:rsidR="00B74B5B" w:rsidRPr="00192334">
              <w:rPr>
                <w:rStyle w:val="Hyperlink"/>
                <w:noProof/>
              </w:rPr>
              <w:t>Step 2: Base Price</w:t>
            </w:r>
            <w:r w:rsidR="00B74B5B">
              <w:rPr>
                <w:noProof/>
                <w:webHidden/>
              </w:rPr>
              <w:tab/>
            </w:r>
            <w:r w:rsidR="00B74B5B">
              <w:rPr>
                <w:noProof/>
                <w:webHidden/>
              </w:rPr>
              <w:fldChar w:fldCharType="begin"/>
            </w:r>
            <w:r w:rsidR="00B74B5B">
              <w:rPr>
                <w:noProof/>
                <w:webHidden/>
              </w:rPr>
              <w:instrText xml:space="preserve"> PAGEREF _Toc477352079 \h </w:instrText>
            </w:r>
            <w:r w:rsidR="00B74B5B">
              <w:rPr>
                <w:noProof/>
                <w:webHidden/>
              </w:rPr>
            </w:r>
            <w:r w:rsidR="00B74B5B">
              <w:rPr>
                <w:noProof/>
                <w:webHidden/>
              </w:rPr>
              <w:fldChar w:fldCharType="separate"/>
            </w:r>
            <w:r w:rsidR="00B74B5B">
              <w:rPr>
                <w:noProof/>
                <w:webHidden/>
              </w:rPr>
              <w:t>12</w:t>
            </w:r>
            <w:r w:rsidR="00B74B5B">
              <w:rPr>
                <w:noProof/>
                <w:webHidden/>
              </w:rPr>
              <w:fldChar w:fldCharType="end"/>
            </w:r>
          </w:hyperlink>
        </w:p>
        <w:p w:rsidR="00B74B5B" w:rsidRDefault="00FB0532">
          <w:pPr>
            <w:pStyle w:val="TOC2"/>
            <w:tabs>
              <w:tab w:val="right" w:leader="dot" w:pos="10456"/>
            </w:tabs>
            <w:rPr>
              <w:rFonts w:cstheme="minorBidi"/>
              <w:noProof/>
              <w:sz w:val="22"/>
              <w:lang w:val="en-AU" w:eastAsia="en-AU"/>
            </w:rPr>
          </w:pPr>
          <w:hyperlink w:anchor="_Toc477352080" w:history="1">
            <w:r w:rsidR="00B74B5B" w:rsidRPr="00192334">
              <w:rPr>
                <w:rStyle w:val="Hyperlink"/>
                <w:noProof/>
              </w:rPr>
              <w:t>Required elements of all Building Types</w:t>
            </w:r>
            <w:r w:rsidR="00B74B5B">
              <w:rPr>
                <w:noProof/>
                <w:webHidden/>
              </w:rPr>
              <w:tab/>
            </w:r>
            <w:r w:rsidR="00B74B5B">
              <w:rPr>
                <w:noProof/>
                <w:webHidden/>
              </w:rPr>
              <w:fldChar w:fldCharType="begin"/>
            </w:r>
            <w:r w:rsidR="00B74B5B">
              <w:rPr>
                <w:noProof/>
                <w:webHidden/>
              </w:rPr>
              <w:instrText xml:space="preserve"> PAGEREF _Toc477352080 \h </w:instrText>
            </w:r>
            <w:r w:rsidR="00B74B5B">
              <w:rPr>
                <w:noProof/>
                <w:webHidden/>
              </w:rPr>
            </w:r>
            <w:r w:rsidR="00B74B5B">
              <w:rPr>
                <w:noProof/>
                <w:webHidden/>
              </w:rPr>
              <w:fldChar w:fldCharType="separate"/>
            </w:r>
            <w:r w:rsidR="00B74B5B">
              <w:rPr>
                <w:noProof/>
                <w:webHidden/>
              </w:rPr>
              <w:t>13</w:t>
            </w:r>
            <w:r w:rsidR="00B74B5B">
              <w:rPr>
                <w:noProof/>
                <w:webHidden/>
              </w:rPr>
              <w:fldChar w:fldCharType="end"/>
            </w:r>
          </w:hyperlink>
        </w:p>
        <w:p w:rsidR="00B74B5B" w:rsidRDefault="00FB0532">
          <w:pPr>
            <w:pStyle w:val="TOC2"/>
            <w:tabs>
              <w:tab w:val="right" w:leader="dot" w:pos="10456"/>
            </w:tabs>
            <w:rPr>
              <w:rFonts w:cstheme="minorBidi"/>
              <w:noProof/>
              <w:sz w:val="22"/>
              <w:lang w:val="en-AU" w:eastAsia="en-AU"/>
            </w:rPr>
          </w:pPr>
          <w:hyperlink w:anchor="_Toc477352081" w:history="1">
            <w:r w:rsidR="00B74B5B" w:rsidRPr="00192334">
              <w:rPr>
                <w:rStyle w:val="Hyperlink"/>
                <w:rFonts w:eastAsia="Times New Roman"/>
                <w:noProof/>
                <w:lang w:val="en"/>
              </w:rPr>
              <w:t>Step 3: Location Factor</w:t>
            </w:r>
            <w:r w:rsidR="00B74B5B">
              <w:rPr>
                <w:noProof/>
                <w:webHidden/>
              </w:rPr>
              <w:tab/>
            </w:r>
            <w:r w:rsidR="00B74B5B">
              <w:rPr>
                <w:noProof/>
                <w:webHidden/>
              </w:rPr>
              <w:fldChar w:fldCharType="begin"/>
            </w:r>
            <w:r w:rsidR="00B74B5B">
              <w:rPr>
                <w:noProof/>
                <w:webHidden/>
              </w:rPr>
              <w:instrText xml:space="preserve"> PAGEREF _Toc477352081 \h </w:instrText>
            </w:r>
            <w:r w:rsidR="00B74B5B">
              <w:rPr>
                <w:noProof/>
                <w:webHidden/>
              </w:rPr>
            </w:r>
            <w:r w:rsidR="00B74B5B">
              <w:rPr>
                <w:noProof/>
                <w:webHidden/>
              </w:rPr>
              <w:fldChar w:fldCharType="separate"/>
            </w:r>
            <w:r w:rsidR="00B74B5B">
              <w:rPr>
                <w:noProof/>
                <w:webHidden/>
              </w:rPr>
              <w:t>19</w:t>
            </w:r>
            <w:r w:rsidR="00B74B5B">
              <w:rPr>
                <w:noProof/>
                <w:webHidden/>
              </w:rPr>
              <w:fldChar w:fldCharType="end"/>
            </w:r>
          </w:hyperlink>
        </w:p>
        <w:p w:rsidR="00B74B5B" w:rsidRDefault="00FB0532">
          <w:pPr>
            <w:pStyle w:val="TOC2"/>
            <w:tabs>
              <w:tab w:val="right" w:leader="dot" w:pos="10456"/>
            </w:tabs>
            <w:rPr>
              <w:rFonts w:cstheme="minorBidi"/>
              <w:noProof/>
              <w:sz w:val="22"/>
              <w:lang w:val="en-AU" w:eastAsia="en-AU"/>
            </w:rPr>
          </w:pPr>
          <w:hyperlink w:anchor="_Toc477352082" w:history="1">
            <w:r w:rsidR="00B74B5B" w:rsidRPr="00192334">
              <w:rPr>
                <w:rStyle w:val="Hyperlink"/>
                <w:rFonts w:eastAsia="Times New Roman"/>
                <w:noProof/>
                <w:lang w:val="en"/>
              </w:rPr>
              <w:t>Step 4: Fire sprinklers</w:t>
            </w:r>
            <w:r w:rsidR="00B74B5B">
              <w:rPr>
                <w:noProof/>
                <w:webHidden/>
              </w:rPr>
              <w:tab/>
            </w:r>
            <w:r w:rsidR="00B74B5B">
              <w:rPr>
                <w:noProof/>
                <w:webHidden/>
              </w:rPr>
              <w:fldChar w:fldCharType="begin"/>
            </w:r>
            <w:r w:rsidR="00B74B5B">
              <w:rPr>
                <w:noProof/>
                <w:webHidden/>
              </w:rPr>
              <w:instrText xml:space="preserve"> PAGEREF _Toc477352082 \h </w:instrText>
            </w:r>
            <w:r w:rsidR="00B74B5B">
              <w:rPr>
                <w:noProof/>
                <w:webHidden/>
              </w:rPr>
            </w:r>
            <w:r w:rsidR="00B74B5B">
              <w:rPr>
                <w:noProof/>
                <w:webHidden/>
              </w:rPr>
              <w:fldChar w:fldCharType="separate"/>
            </w:r>
            <w:r w:rsidR="00B74B5B">
              <w:rPr>
                <w:noProof/>
                <w:webHidden/>
              </w:rPr>
              <w:t>19</w:t>
            </w:r>
            <w:r w:rsidR="00B74B5B">
              <w:rPr>
                <w:noProof/>
                <w:webHidden/>
              </w:rPr>
              <w:fldChar w:fldCharType="end"/>
            </w:r>
          </w:hyperlink>
        </w:p>
        <w:p w:rsidR="00B74B5B" w:rsidRDefault="00FB0532">
          <w:pPr>
            <w:pStyle w:val="TOC2"/>
            <w:tabs>
              <w:tab w:val="right" w:leader="dot" w:pos="10456"/>
            </w:tabs>
            <w:rPr>
              <w:rFonts w:cstheme="minorBidi"/>
              <w:noProof/>
              <w:sz w:val="22"/>
              <w:lang w:val="en-AU" w:eastAsia="en-AU"/>
            </w:rPr>
          </w:pPr>
          <w:hyperlink w:anchor="_Toc477352083" w:history="1">
            <w:r w:rsidR="00B74B5B" w:rsidRPr="00192334">
              <w:rPr>
                <w:rStyle w:val="Hyperlink"/>
                <w:noProof/>
              </w:rPr>
              <w:t>Base Prices for New Builds</w:t>
            </w:r>
            <w:r w:rsidR="00B74B5B">
              <w:rPr>
                <w:noProof/>
                <w:webHidden/>
              </w:rPr>
              <w:tab/>
            </w:r>
            <w:r w:rsidR="00B74B5B">
              <w:rPr>
                <w:noProof/>
                <w:webHidden/>
              </w:rPr>
              <w:fldChar w:fldCharType="begin"/>
            </w:r>
            <w:r w:rsidR="00B74B5B">
              <w:rPr>
                <w:noProof/>
                <w:webHidden/>
              </w:rPr>
              <w:instrText xml:space="preserve"> PAGEREF _Toc477352083 \h </w:instrText>
            </w:r>
            <w:r w:rsidR="00B74B5B">
              <w:rPr>
                <w:noProof/>
                <w:webHidden/>
              </w:rPr>
            </w:r>
            <w:r w:rsidR="00B74B5B">
              <w:rPr>
                <w:noProof/>
                <w:webHidden/>
              </w:rPr>
              <w:fldChar w:fldCharType="separate"/>
            </w:r>
            <w:r w:rsidR="00B74B5B">
              <w:rPr>
                <w:noProof/>
                <w:webHidden/>
              </w:rPr>
              <w:t>20</w:t>
            </w:r>
            <w:r w:rsidR="00B74B5B">
              <w:rPr>
                <w:noProof/>
                <w:webHidden/>
              </w:rPr>
              <w:fldChar w:fldCharType="end"/>
            </w:r>
          </w:hyperlink>
        </w:p>
        <w:p w:rsidR="00B74B5B" w:rsidRDefault="00FB0532">
          <w:pPr>
            <w:pStyle w:val="TOC2"/>
            <w:tabs>
              <w:tab w:val="right" w:leader="dot" w:pos="10456"/>
            </w:tabs>
            <w:rPr>
              <w:rFonts w:cstheme="minorBidi"/>
              <w:noProof/>
              <w:sz w:val="22"/>
              <w:lang w:val="en-AU" w:eastAsia="en-AU"/>
            </w:rPr>
          </w:pPr>
          <w:hyperlink w:anchor="_Toc477352084" w:history="1">
            <w:r w:rsidR="00B74B5B" w:rsidRPr="00192334">
              <w:rPr>
                <w:rStyle w:val="Hyperlink"/>
                <w:noProof/>
              </w:rPr>
              <w:t>Base Prices for Existing Stock</w:t>
            </w:r>
            <w:r w:rsidR="00B74B5B">
              <w:rPr>
                <w:noProof/>
                <w:webHidden/>
              </w:rPr>
              <w:tab/>
            </w:r>
            <w:r w:rsidR="00B74B5B">
              <w:rPr>
                <w:noProof/>
                <w:webHidden/>
              </w:rPr>
              <w:fldChar w:fldCharType="begin"/>
            </w:r>
            <w:r w:rsidR="00B74B5B">
              <w:rPr>
                <w:noProof/>
                <w:webHidden/>
              </w:rPr>
              <w:instrText xml:space="preserve"> PAGEREF _Toc477352084 \h </w:instrText>
            </w:r>
            <w:r w:rsidR="00B74B5B">
              <w:rPr>
                <w:noProof/>
                <w:webHidden/>
              </w:rPr>
            </w:r>
            <w:r w:rsidR="00B74B5B">
              <w:rPr>
                <w:noProof/>
                <w:webHidden/>
              </w:rPr>
              <w:fldChar w:fldCharType="separate"/>
            </w:r>
            <w:r w:rsidR="00B74B5B">
              <w:rPr>
                <w:noProof/>
                <w:webHidden/>
              </w:rPr>
              <w:t>21</w:t>
            </w:r>
            <w:r w:rsidR="00B74B5B">
              <w:rPr>
                <w:noProof/>
                <w:webHidden/>
              </w:rPr>
              <w:fldChar w:fldCharType="end"/>
            </w:r>
          </w:hyperlink>
        </w:p>
        <w:p w:rsidR="00B74B5B" w:rsidRDefault="00FB0532">
          <w:pPr>
            <w:pStyle w:val="TOC2"/>
            <w:tabs>
              <w:tab w:val="right" w:leader="dot" w:pos="10456"/>
            </w:tabs>
            <w:rPr>
              <w:rFonts w:cstheme="minorBidi"/>
              <w:noProof/>
              <w:sz w:val="22"/>
              <w:lang w:val="en-AU" w:eastAsia="en-AU"/>
            </w:rPr>
          </w:pPr>
          <w:hyperlink w:anchor="_Toc477352085" w:history="1">
            <w:r w:rsidR="00B74B5B" w:rsidRPr="00192334">
              <w:rPr>
                <w:rStyle w:val="Hyperlink"/>
                <w:noProof/>
              </w:rPr>
              <w:t>Location Factors</w:t>
            </w:r>
            <w:r w:rsidR="00B74B5B">
              <w:rPr>
                <w:noProof/>
                <w:webHidden/>
              </w:rPr>
              <w:tab/>
            </w:r>
            <w:r w:rsidR="00B74B5B">
              <w:rPr>
                <w:noProof/>
                <w:webHidden/>
              </w:rPr>
              <w:fldChar w:fldCharType="begin"/>
            </w:r>
            <w:r w:rsidR="00B74B5B">
              <w:rPr>
                <w:noProof/>
                <w:webHidden/>
              </w:rPr>
              <w:instrText xml:space="preserve"> PAGEREF _Toc477352085 \h </w:instrText>
            </w:r>
            <w:r w:rsidR="00B74B5B">
              <w:rPr>
                <w:noProof/>
                <w:webHidden/>
              </w:rPr>
            </w:r>
            <w:r w:rsidR="00B74B5B">
              <w:rPr>
                <w:noProof/>
                <w:webHidden/>
              </w:rPr>
              <w:fldChar w:fldCharType="separate"/>
            </w:r>
            <w:r w:rsidR="00B74B5B">
              <w:rPr>
                <w:noProof/>
                <w:webHidden/>
              </w:rPr>
              <w:t>22</w:t>
            </w:r>
            <w:r w:rsidR="00B74B5B">
              <w:rPr>
                <w:noProof/>
                <w:webHidden/>
              </w:rPr>
              <w:fldChar w:fldCharType="end"/>
            </w:r>
          </w:hyperlink>
        </w:p>
        <w:p w:rsidR="006A4DEB" w:rsidRDefault="00716277">
          <w:r>
            <w:rPr>
              <w:rFonts w:asciiTheme="minorHAnsi" w:eastAsiaTheme="minorEastAsia" w:hAnsiTheme="minorHAnsi" w:cs="Times New Roman"/>
              <w:lang w:val="en-US"/>
            </w:rPr>
            <w:fldChar w:fldCharType="end"/>
          </w:r>
        </w:p>
      </w:sdtContent>
    </w:sdt>
    <w:p w:rsidR="00ED0573" w:rsidRDefault="00ED0573">
      <w:pPr>
        <w:spacing w:before="0" w:after="200"/>
        <w:rPr>
          <w:rFonts w:eastAsiaTheme="majorEastAsia" w:cstheme="majorBidi"/>
          <w:b/>
          <w:bCs/>
          <w:color w:val="652F76"/>
          <w:sz w:val="44"/>
          <w:szCs w:val="28"/>
        </w:rPr>
      </w:pPr>
      <w:r>
        <w:br w:type="page"/>
      </w:r>
      <w:bookmarkStart w:id="0" w:name="_GoBack"/>
      <w:bookmarkEnd w:id="0"/>
    </w:p>
    <w:p w:rsidR="006347A9" w:rsidRDefault="00425D01" w:rsidP="00DE1722">
      <w:pPr>
        <w:pStyle w:val="Heading1"/>
      </w:pPr>
      <w:bookmarkStart w:id="1" w:name="_Toc477352074"/>
      <w:r w:rsidRPr="001C5425">
        <w:lastRenderedPageBreak/>
        <w:t>NDIS</w:t>
      </w:r>
      <w:r w:rsidR="00C61D76" w:rsidRPr="001C5425">
        <w:t xml:space="preserve"> </w:t>
      </w:r>
      <w:r w:rsidRPr="007C1BB9">
        <w:t>P</w:t>
      </w:r>
      <w:r w:rsidRPr="001C5425">
        <w:t xml:space="preserve">rice </w:t>
      </w:r>
      <w:r w:rsidR="00C61D76" w:rsidRPr="001C5425">
        <w:t>G</w:t>
      </w:r>
      <w:r w:rsidR="006347A9" w:rsidRPr="001C5425">
        <w:t>uide</w:t>
      </w:r>
      <w:r w:rsidR="006E5C22">
        <w:t xml:space="preserve"> for Specialist Disability Accommodation</w:t>
      </w:r>
      <w:bookmarkEnd w:id="1"/>
    </w:p>
    <w:p w:rsidR="00F332D6" w:rsidRDefault="00425D01" w:rsidP="007C1FE2">
      <w:pPr>
        <w:rPr>
          <w:rFonts w:eastAsia="Times New Roman" w:cs="Arial"/>
          <w:szCs w:val="18"/>
          <w:lang w:val="en"/>
        </w:rPr>
      </w:pPr>
      <w:r w:rsidRPr="00E32888">
        <w:rPr>
          <w:rFonts w:eastAsia="Times New Roman" w:cs="Arial"/>
          <w:szCs w:val="18"/>
          <w:lang w:val="en"/>
        </w:rPr>
        <w:t xml:space="preserve">This document </w:t>
      </w:r>
      <w:r w:rsidR="003E1CA7">
        <w:rPr>
          <w:rFonts w:eastAsia="Times New Roman" w:cs="Arial"/>
          <w:szCs w:val="18"/>
          <w:lang w:val="en"/>
        </w:rPr>
        <w:t xml:space="preserve">sets out the </w:t>
      </w:r>
      <w:r w:rsidRPr="00E32888">
        <w:rPr>
          <w:rFonts w:eastAsia="Times New Roman" w:cs="Arial"/>
          <w:szCs w:val="18"/>
          <w:lang w:val="en"/>
        </w:rPr>
        <w:t xml:space="preserve">prices </w:t>
      </w:r>
      <w:r w:rsidR="00125DD5">
        <w:rPr>
          <w:rFonts w:eastAsia="Times New Roman" w:cs="Arial"/>
          <w:szCs w:val="18"/>
          <w:lang w:val="en"/>
        </w:rPr>
        <w:t xml:space="preserve">and payments </w:t>
      </w:r>
      <w:r w:rsidRPr="00E32888">
        <w:rPr>
          <w:rFonts w:eastAsia="Times New Roman" w:cs="Arial"/>
          <w:szCs w:val="18"/>
          <w:lang w:val="en"/>
        </w:rPr>
        <w:t xml:space="preserve">that apply </w:t>
      </w:r>
      <w:r w:rsidR="006E5C22" w:rsidRPr="00E32888">
        <w:rPr>
          <w:rFonts w:eastAsia="Times New Roman" w:cs="Arial"/>
          <w:szCs w:val="18"/>
          <w:lang w:val="en"/>
        </w:rPr>
        <w:t>for Specialist Disability Accommodation (SDA)</w:t>
      </w:r>
      <w:r w:rsidR="00125DD5">
        <w:rPr>
          <w:rFonts w:eastAsia="Times New Roman" w:cs="Arial"/>
          <w:szCs w:val="18"/>
          <w:lang w:val="en"/>
        </w:rPr>
        <w:t xml:space="preserve"> under the National Disability Insurance Scheme (NDIS)</w:t>
      </w:r>
      <w:r w:rsidR="00125DD5" w:rsidRPr="00125DD5">
        <w:rPr>
          <w:rFonts w:eastAsia="Times New Roman" w:cs="Arial"/>
          <w:szCs w:val="18"/>
          <w:lang w:val="en"/>
        </w:rPr>
        <w:t xml:space="preserve"> </w:t>
      </w:r>
      <w:r w:rsidR="00125DD5" w:rsidRPr="00E32888">
        <w:rPr>
          <w:rFonts w:eastAsia="Times New Roman" w:cs="Arial"/>
          <w:szCs w:val="18"/>
          <w:lang w:val="en"/>
        </w:rPr>
        <w:t xml:space="preserve">from </w:t>
      </w:r>
      <w:r w:rsidR="00125DD5">
        <w:rPr>
          <w:rFonts w:eastAsia="Times New Roman" w:cs="Arial"/>
          <w:szCs w:val="18"/>
          <w:lang w:val="en"/>
        </w:rPr>
        <w:t>1 July</w:t>
      </w:r>
      <w:r w:rsidR="00B73850">
        <w:rPr>
          <w:rFonts w:eastAsia="Times New Roman" w:cs="Arial"/>
          <w:szCs w:val="18"/>
          <w:lang w:val="en"/>
        </w:rPr>
        <w:t xml:space="preserve"> 2016. All compliant SDA dwellings have a maximum price that the Agency will pay that is based on the dwelling</w:t>
      </w:r>
      <w:r w:rsidR="009D1CB1">
        <w:rPr>
          <w:rFonts w:eastAsia="Times New Roman" w:cs="Arial"/>
          <w:szCs w:val="18"/>
          <w:lang w:val="en"/>
        </w:rPr>
        <w:t>’</w:t>
      </w:r>
      <w:r w:rsidR="00B73850">
        <w:rPr>
          <w:rFonts w:eastAsia="Times New Roman" w:cs="Arial"/>
          <w:szCs w:val="18"/>
          <w:lang w:val="en"/>
        </w:rPr>
        <w:t xml:space="preserve">s age, location and features. Providers must be </w:t>
      </w:r>
      <w:r w:rsidR="008D5A21">
        <w:rPr>
          <w:rFonts w:eastAsia="Times New Roman" w:cs="Arial"/>
          <w:szCs w:val="18"/>
          <w:lang w:val="en"/>
        </w:rPr>
        <w:t>r</w:t>
      </w:r>
      <w:r w:rsidR="00B73850">
        <w:rPr>
          <w:rFonts w:eastAsia="Times New Roman" w:cs="Arial"/>
          <w:szCs w:val="18"/>
          <w:lang w:val="en"/>
        </w:rPr>
        <w:t xml:space="preserve">egistered </w:t>
      </w:r>
      <w:r w:rsidR="008D5A21">
        <w:rPr>
          <w:rFonts w:eastAsia="Times New Roman" w:cs="Arial"/>
          <w:szCs w:val="18"/>
          <w:lang w:val="en"/>
        </w:rPr>
        <w:t>p</w:t>
      </w:r>
      <w:r w:rsidR="00B73850">
        <w:rPr>
          <w:rFonts w:eastAsia="Times New Roman" w:cs="Arial"/>
          <w:szCs w:val="18"/>
          <w:lang w:val="en"/>
        </w:rPr>
        <w:t xml:space="preserve">roviders and be approved for the SDA Registration Group. Additionally, providers must enroll each dwelling with the Agency. </w:t>
      </w:r>
    </w:p>
    <w:p w:rsidR="00425D01" w:rsidRDefault="00B73850" w:rsidP="007C1FE2">
      <w:pPr>
        <w:rPr>
          <w:rFonts w:eastAsia="Times New Roman" w:cs="Arial"/>
          <w:szCs w:val="18"/>
          <w:lang w:val="en"/>
        </w:rPr>
      </w:pPr>
      <w:r>
        <w:rPr>
          <w:rFonts w:eastAsia="Times New Roman" w:cs="Arial"/>
          <w:szCs w:val="18"/>
          <w:lang w:val="en"/>
        </w:rPr>
        <w:t xml:space="preserve">It is important that providers are aware that the Price Guide does not outline all of the </w:t>
      </w:r>
      <w:r w:rsidR="00F332D6">
        <w:rPr>
          <w:rFonts w:eastAsia="Times New Roman" w:cs="Arial"/>
          <w:szCs w:val="18"/>
          <w:lang w:val="en"/>
        </w:rPr>
        <w:t>requirements and definitions that apply to SDA dwellings</w:t>
      </w:r>
      <w:r w:rsidR="00F139A1">
        <w:rPr>
          <w:rFonts w:eastAsia="Times New Roman" w:cs="Arial"/>
          <w:szCs w:val="18"/>
          <w:lang w:val="en"/>
        </w:rPr>
        <w:t>.</w:t>
      </w:r>
    </w:p>
    <w:p w:rsidR="003E1CA7" w:rsidRPr="00E32888" w:rsidRDefault="009D1CB1" w:rsidP="007C1FE2">
      <w:pPr>
        <w:rPr>
          <w:rFonts w:eastAsia="Times New Roman" w:cs="Arial"/>
          <w:b/>
          <w:bCs/>
          <w:iCs/>
          <w:sz w:val="32"/>
        </w:rPr>
      </w:pPr>
      <w:r>
        <w:rPr>
          <w:rFonts w:eastAsia="Times New Roman" w:cs="Arial"/>
          <w:szCs w:val="18"/>
          <w:lang w:val="en"/>
        </w:rPr>
        <w:t>O</w:t>
      </w:r>
      <w:r w:rsidR="00125DD5">
        <w:rPr>
          <w:rFonts w:eastAsia="Times New Roman" w:cs="Arial"/>
          <w:szCs w:val="18"/>
          <w:lang w:val="en"/>
        </w:rPr>
        <w:t xml:space="preserve">n </w:t>
      </w:r>
      <w:r>
        <w:rPr>
          <w:rFonts w:eastAsia="Times New Roman" w:cs="Arial"/>
          <w:szCs w:val="18"/>
          <w:lang w:val="en"/>
        </w:rPr>
        <w:t xml:space="preserve">14 </w:t>
      </w:r>
      <w:r w:rsidR="00710D25">
        <w:rPr>
          <w:rFonts w:eastAsia="Times New Roman" w:cs="Arial"/>
          <w:szCs w:val="18"/>
          <w:lang w:val="en"/>
        </w:rPr>
        <w:t xml:space="preserve">March </w:t>
      </w:r>
      <w:r w:rsidR="00125DD5">
        <w:rPr>
          <w:rFonts w:eastAsia="Times New Roman" w:cs="Arial"/>
          <w:szCs w:val="18"/>
          <w:lang w:val="en"/>
        </w:rPr>
        <w:t xml:space="preserve">2017 the </w:t>
      </w:r>
      <w:r w:rsidR="003E1CA7" w:rsidRPr="003E1CA7">
        <w:rPr>
          <w:rFonts w:eastAsia="Times New Roman" w:cs="Arial"/>
          <w:i/>
          <w:szCs w:val="18"/>
          <w:lang w:val="en"/>
        </w:rPr>
        <w:t>NDIS</w:t>
      </w:r>
      <w:r w:rsidR="003E1CA7">
        <w:rPr>
          <w:rFonts w:eastAsia="Times New Roman" w:cs="Arial"/>
          <w:i/>
          <w:szCs w:val="18"/>
          <w:lang w:val="en"/>
        </w:rPr>
        <w:t xml:space="preserve"> </w:t>
      </w:r>
      <w:r w:rsidR="003E1CA7" w:rsidRPr="003E1CA7">
        <w:rPr>
          <w:rFonts w:eastAsia="Times New Roman" w:cs="Arial"/>
          <w:i/>
          <w:szCs w:val="18"/>
          <w:lang w:val="en"/>
        </w:rPr>
        <w:t>(Specialist Disability Accommodation)</w:t>
      </w:r>
      <w:r w:rsidR="003E1CA7">
        <w:rPr>
          <w:rFonts w:eastAsia="Times New Roman" w:cs="Arial"/>
          <w:i/>
          <w:szCs w:val="18"/>
          <w:lang w:val="en"/>
        </w:rPr>
        <w:t xml:space="preserve"> </w:t>
      </w:r>
      <w:r w:rsidR="003E1CA7" w:rsidRPr="003E1CA7">
        <w:rPr>
          <w:rFonts w:eastAsia="Times New Roman" w:cs="Arial"/>
          <w:i/>
          <w:szCs w:val="18"/>
          <w:lang w:val="en"/>
        </w:rPr>
        <w:t>Rules 2017</w:t>
      </w:r>
      <w:r w:rsidR="003E1CA7">
        <w:rPr>
          <w:rFonts w:eastAsia="Times New Roman" w:cs="Arial"/>
          <w:szCs w:val="18"/>
          <w:lang w:val="en"/>
        </w:rPr>
        <w:t xml:space="preserve"> (SDA Rules) </w:t>
      </w:r>
      <w:r w:rsidR="00125DD5">
        <w:rPr>
          <w:rFonts w:eastAsia="Times New Roman" w:cs="Arial"/>
          <w:szCs w:val="18"/>
          <w:lang w:val="en"/>
        </w:rPr>
        <w:t xml:space="preserve">came into effect.  The SDA Rules, together with the </w:t>
      </w:r>
      <w:r w:rsidR="00125DD5" w:rsidRPr="00125DD5">
        <w:rPr>
          <w:rFonts w:eastAsia="Times New Roman" w:cs="Arial"/>
          <w:i/>
          <w:szCs w:val="18"/>
          <w:lang w:val="en"/>
        </w:rPr>
        <w:t>National Disability Insurance Scheme Act 2013</w:t>
      </w:r>
      <w:r w:rsidR="001621EB">
        <w:rPr>
          <w:rFonts w:eastAsia="Times New Roman" w:cs="Arial"/>
          <w:i/>
          <w:szCs w:val="18"/>
          <w:lang w:val="en"/>
        </w:rPr>
        <w:t xml:space="preserve"> </w:t>
      </w:r>
      <w:r w:rsidR="001621EB" w:rsidRPr="001621EB">
        <w:rPr>
          <w:rFonts w:eastAsia="Times New Roman" w:cs="Arial"/>
          <w:szCs w:val="18"/>
          <w:lang w:val="en"/>
        </w:rPr>
        <w:t>and the NDIS Rules under the Act</w:t>
      </w:r>
      <w:r w:rsidR="00125DD5" w:rsidRPr="001621EB">
        <w:rPr>
          <w:rFonts w:eastAsia="Times New Roman" w:cs="Arial"/>
          <w:szCs w:val="18"/>
          <w:lang w:val="en"/>
        </w:rPr>
        <w:t>,</w:t>
      </w:r>
      <w:r w:rsidR="001621EB" w:rsidRPr="001621EB">
        <w:rPr>
          <w:rFonts w:eastAsia="Times New Roman" w:cs="Arial"/>
          <w:szCs w:val="18"/>
          <w:lang w:val="en"/>
        </w:rPr>
        <w:t xml:space="preserve"> </w:t>
      </w:r>
      <w:r w:rsidR="003E1CA7" w:rsidRPr="001621EB">
        <w:rPr>
          <w:rFonts w:eastAsia="Times New Roman" w:cs="Arial"/>
          <w:szCs w:val="18"/>
          <w:lang w:val="en"/>
        </w:rPr>
        <w:t>establish</w:t>
      </w:r>
      <w:r w:rsidR="003E1CA7">
        <w:rPr>
          <w:rFonts w:eastAsia="Times New Roman" w:cs="Arial"/>
          <w:szCs w:val="18"/>
          <w:lang w:val="en"/>
        </w:rPr>
        <w:t xml:space="preserve"> the framework for </w:t>
      </w:r>
      <w:r w:rsidR="00125DD5">
        <w:rPr>
          <w:rFonts w:eastAsia="Times New Roman" w:cs="Arial"/>
          <w:szCs w:val="18"/>
          <w:lang w:val="en"/>
        </w:rPr>
        <w:t xml:space="preserve">providing </w:t>
      </w:r>
      <w:r w:rsidR="003E1CA7">
        <w:rPr>
          <w:rFonts w:eastAsia="Times New Roman" w:cs="Arial"/>
          <w:szCs w:val="18"/>
          <w:lang w:val="en"/>
        </w:rPr>
        <w:t>SDA</w:t>
      </w:r>
      <w:r w:rsidR="00125DD5">
        <w:rPr>
          <w:rFonts w:eastAsia="Times New Roman" w:cs="Arial"/>
          <w:szCs w:val="18"/>
          <w:lang w:val="en"/>
        </w:rPr>
        <w:t xml:space="preserve"> to participants under the NDIS.  The SDA Rules </w:t>
      </w:r>
      <w:r w:rsidR="00E721B3">
        <w:rPr>
          <w:rFonts w:eastAsia="Times New Roman" w:cs="Arial"/>
          <w:szCs w:val="18"/>
          <w:lang w:val="en"/>
        </w:rPr>
        <w:t xml:space="preserve">deal with the criteria for when a participant will have </w:t>
      </w:r>
      <w:r w:rsidR="003E1CA7">
        <w:rPr>
          <w:rFonts w:eastAsia="Times New Roman" w:cs="Arial"/>
          <w:szCs w:val="18"/>
          <w:lang w:val="en"/>
        </w:rPr>
        <w:t xml:space="preserve">SDA </w:t>
      </w:r>
      <w:r w:rsidR="00E721B3">
        <w:rPr>
          <w:rFonts w:eastAsia="Times New Roman" w:cs="Arial"/>
          <w:szCs w:val="18"/>
          <w:lang w:val="en"/>
        </w:rPr>
        <w:t xml:space="preserve">included in their NDIS </w:t>
      </w:r>
      <w:r w:rsidR="003E1CA7">
        <w:rPr>
          <w:rFonts w:eastAsia="Times New Roman" w:cs="Arial"/>
          <w:szCs w:val="18"/>
          <w:lang w:val="en"/>
        </w:rPr>
        <w:t>plan</w:t>
      </w:r>
      <w:r w:rsidR="00E721B3">
        <w:rPr>
          <w:rFonts w:eastAsia="Times New Roman" w:cs="Arial"/>
          <w:szCs w:val="18"/>
          <w:lang w:val="en"/>
        </w:rPr>
        <w:t xml:space="preserve">, the dwellings that can be used for SDA and the </w:t>
      </w:r>
      <w:r w:rsidR="0007688B">
        <w:rPr>
          <w:rFonts w:eastAsia="Times New Roman" w:cs="Arial"/>
          <w:szCs w:val="18"/>
          <w:lang w:val="en"/>
        </w:rPr>
        <w:t xml:space="preserve">payments that </w:t>
      </w:r>
      <w:r w:rsidR="00E721B3">
        <w:rPr>
          <w:rFonts w:eastAsia="Times New Roman" w:cs="Arial"/>
          <w:szCs w:val="18"/>
          <w:lang w:val="en"/>
        </w:rPr>
        <w:t xml:space="preserve">will be paid to registered providers of </w:t>
      </w:r>
      <w:r w:rsidR="003E1CA7">
        <w:rPr>
          <w:rFonts w:eastAsia="Times New Roman" w:cs="Arial"/>
          <w:szCs w:val="18"/>
          <w:lang w:val="en"/>
        </w:rPr>
        <w:t>SDA</w:t>
      </w:r>
      <w:r w:rsidR="0007688B">
        <w:rPr>
          <w:rFonts w:eastAsia="Times New Roman" w:cs="Arial"/>
          <w:szCs w:val="18"/>
          <w:lang w:val="en"/>
        </w:rPr>
        <w:t xml:space="preserve">. </w:t>
      </w:r>
    </w:p>
    <w:p w:rsidR="00250C53" w:rsidRDefault="00250C53" w:rsidP="0007688B">
      <w:r>
        <w:t>This Price Guide</w:t>
      </w:r>
      <w:r>
        <w:rPr>
          <w:rFonts w:eastAsia="Times New Roman" w:cs="Arial"/>
          <w:szCs w:val="18"/>
          <w:lang w:val="en"/>
        </w:rPr>
        <w:t xml:space="preserve"> is referred to in the </w:t>
      </w:r>
      <w:r w:rsidR="0007688B">
        <w:rPr>
          <w:rFonts w:eastAsia="Times New Roman" w:cs="Arial"/>
          <w:szCs w:val="18"/>
          <w:lang w:val="en"/>
        </w:rPr>
        <w:t xml:space="preserve">SDA Rules </w:t>
      </w:r>
      <w:r>
        <w:rPr>
          <w:rFonts w:eastAsia="Times New Roman" w:cs="Arial"/>
          <w:szCs w:val="18"/>
          <w:lang w:val="en"/>
        </w:rPr>
        <w:t xml:space="preserve">and sets out </w:t>
      </w:r>
      <w:r w:rsidR="0007688B">
        <w:rPr>
          <w:rFonts w:eastAsia="Times New Roman" w:cs="Arial"/>
          <w:szCs w:val="18"/>
          <w:lang w:val="en"/>
        </w:rPr>
        <w:t>t</w:t>
      </w:r>
      <w:r w:rsidR="0007688B">
        <w:t xml:space="preserve">he amounts </w:t>
      </w:r>
      <w:r>
        <w:t>of the prices</w:t>
      </w:r>
      <w:r w:rsidR="0007688B">
        <w:t xml:space="preserve"> for particular SDA types and locations, including allowances for features</w:t>
      </w:r>
      <w:r>
        <w:t xml:space="preserve"> (SDA Rule 5.4).</w:t>
      </w:r>
      <w:r w:rsidR="0007688B">
        <w:t xml:space="preserve">  </w:t>
      </w:r>
      <w:r>
        <w:t xml:space="preserve">The Price </w:t>
      </w:r>
      <w:r w:rsidR="000A7DD5">
        <w:t>G</w:t>
      </w:r>
      <w:r>
        <w:t xml:space="preserve">uide also contains further detail </w:t>
      </w:r>
      <w:r w:rsidR="000A7DD5">
        <w:t xml:space="preserve">regarding </w:t>
      </w:r>
      <w:r>
        <w:t xml:space="preserve">the Design Categories and Building </w:t>
      </w:r>
      <w:r w:rsidR="009F2A04">
        <w:t>T</w:t>
      </w:r>
      <w:r>
        <w:t xml:space="preserve">ypes described in </w:t>
      </w:r>
      <w:r w:rsidR="00E721B3">
        <w:t xml:space="preserve">the </w:t>
      </w:r>
      <w:r>
        <w:t xml:space="preserve">SDA </w:t>
      </w:r>
      <w:r w:rsidR="009F2A04">
        <w:t>R</w:t>
      </w:r>
      <w:r>
        <w:t>ules</w:t>
      </w:r>
      <w:r w:rsidR="009F2A04">
        <w:t>.</w:t>
      </w:r>
      <w:r>
        <w:t xml:space="preserve"> </w:t>
      </w:r>
    </w:p>
    <w:p w:rsidR="0007688B" w:rsidRDefault="0007688B" w:rsidP="0007688B">
      <w:r>
        <w:t xml:space="preserve">For Legacy Stock the </w:t>
      </w:r>
      <w:r w:rsidR="00E721B3">
        <w:t xml:space="preserve">SDA prices </w:t>
      </w:r>
      <w:r>
        <w:t xml:space="preserve">are not set out in this Price Guide but are set out in the Legacy Stock Price List. </w:t>
      </w:r>
    </w:p>
    <w:p w:rsidR="006B2ECC" w:rsidRDefault="006B2ECC" w:rsidP="00425D01">
      <w:pPr>
        <w:rPr>
          <w:rFonts w:eastAsia="Times New Roman" w:cs="Arial"/>
          <w:szCs w:val="18"/>
          <w:lang w:val="en"/>
        </w:rPr>
      </w:pPr>
      <w:r>
        <w:rPr>
          <w:rFonts w:eastAsia="Times New Roman" w:cs="Arial"/>
          <w:szCs w:val="18"/>
          <w:lang w:val="en"/>
        </w:rPr>
        <w:t xml:space="preserve">The arrangements for the provision of SDA by </w:t>
      </w:r>
      <w:r w:rsidR="00E82339">
        <w:rPr>
          <w:rFonts w:eastAsia="Times New Roman" w:cs="Arial"/>
          <w:szCs w:val="18"/>
          <w:lang w:val="en"/>
        </w:rPr>
        <w:t>r</w:t>
      </w:r>
      <w:r>
        <w:rPr>
          <w:rFonts w:eastAsia="Times New Roman" w:cs="Arial"/>
          <w:szCs w:val="18"/>
          <w:lang w:val="en"/>
        </w:rPr>
        <w:t xml:space="preserve">egistered </w:t>
      </w:r>
      <w:r w:rsidR="00E82339">
        <w:rPr>
          <w:rFonts w:eastAsia="Times New Roman" w:cs="Arial"/>
          <w:szCs w:val="18"/>
          <w:lang w:val="en"/>
        </w:rPr>
        <w:t>p</w:t>
      </w:r>
      <w:r>
        <w:rPr>
          <w:rFonts w:eastAsia="Times New Roman" w:cs="Arial"/>
          <w:szCs w:val="18"/>
          <w:lang w:val="en"/>
        </w:rPr>
        <w:t xml:space="preserve">roviders and the payment of the SDA </w:t>
      </w:r>
      <w:r w:rsidR="0017697A">
        <w:rPr>
          <w:rFonts w:eastAsia="Times New Roman" w:cs="Arial"/>
          <w:szCs w:val="18"/>
          <w:lang w:val="en"/>
        </w:rPr>
        <w:t>p</w:t>
      </w:r>
      <w:r>
        <w:rPr>
          <w:rFonts w:eastAsia="Times New Roman" w:cs="Arial"/>
          <w:szCs w:val="18"/>
          <w:lang w:val="en"/>
        </w:rPr>
        <w:t xml:space="preserve">rice to </w:t>
      </w:r>
      <w:r w:rsidR="00E82339">
        <w:rPr>
          <w:rFonts w:eastAsia="Times New Roman" w:cs="Arial"/>
          <w:szCs w:val="18"/>
          <w:lang w:val="en"/>
        </w:rPr>
        <w:t>r</w:t>
      </w:r>
      <w:r>
        <w:rPr>
          <w:rFonts w:eastAsia="Times New Roman" w:cs="Arial"/>
          <w:szCs w:val="18"/>
          <w:lang w:val="en"/>
        </w:rPr>
        <w:t xml:space="preserve">egistered </w:t>
      </w:r>
      <w:r w:rsidR="00E82339">
        <w:rPr>
          <w:rFonts w:eastAsia="Times New Roman" w:cs="Arial"/>
          <w:szCs w:val="18"/>
          <w:lang w:val="en"/>
        </w:rPr>
        <w:t>p</w:t>
      </w:r>
      <w:r>
        <w:rPr>
          <w:rFonts w:eastAsia="Times New Roman" w:cs="Arial"/>
          <w:szCs w:val="18"/>
          <w:lang w:val="en"/>
        </w:rPr>
        <w:t xml:space="preserve">roviders are </w:t>
      </w:r>
      <w:r w:rsidR="0017697A">
        <w:rPr>
          <w:rFonts w:eastAsia="Times New Roman" w:cs="Arial"/>
          <w:szCs w:val="18"/>
          <w:lang w:val="en"/>
        </w:rPr>
        <w:t xml:space="preserve">mainly </w:t>
      </w:r>
      <w:r>
        <w:rPr>
          <w:rFonts w:eastAsia="Times New Roman" w:cs="Arial"/>
          <w:szCs w:val="18"/>
          <w:lang w:val="en"/>
        </w:rPr>
        <w:t>set out in:</w:t>
      </w:r>
    </w:p>
    <w:p w:rsidR="006B2ECC" w:rsidRDefault="006B2ECC" w:rsidP="00EC298B">
      <w:pPr>
        <w:pStyle w:val="ListParagraph"/>
        <w:numPr>
          <w:ilvl w:val="0"/>
          <w:numId w:val="39"/>
        </w:numPr>
        <w:spacing w:before="60" w:after="60"/>
        <w:ind w:hanging="357"/>
        <w:contextualSpacing w:val="0"/>
        <w:rPr>
          <w:rFonts w:eastAsia="Times New Roman" w:cs="Arial"/>
          <w:szCs w:val="18"/>
          <w:lang w:val="en"/>
        </w:rPr>
      </w:pPr>
      <w:r>
        <w:rPr>
          <w:rFonts w:eastAsia="Times New Roman" w:cs="Arial"/>
          <w:szCs w:val="18"/>
          <w:lang w:val="en"/>
        </w:rPr>
        <w:t>T</w:t>
      </w:r>
      <w:r w:rsidRPr="006B2ECC">
        <w:rPr>
          <w:rFonts w:eastAsia="Times New Roman" w:cs="Arial"/>
          <w:szCs w:val="18"/>
          <w:lang w:val="en"/>
        </w:rPr>
        <w:t xml:space="preserve">he </w:t>
      </w:r>
      <w:r>
        <w:rPr>
          <w:rFonts w:eastAsia="Times New Roman" w:cs="Arial"/>
          <w:szCs w:val="18"/>
          <w:lang w:val="en"/>
        </w:rPr>
        <w:t>legislation, including the NDIS Act and the NDIS Rules made under the Act, including the SDA Rules;</w:t>
      </w:r>
    </w:p>
    <w:p w:rsidR="006B2ECC" w:rsidRDefault="006B2ECC" w:rsidP="00EC298B">
      <w:pPr>
        <w:pStyle w:val="ListParagraph"/>
        <w:numPr>
          <w:ilvl w:val="0"/>
          <w:numId w:val="39"/>
        </w:numPr>
        <w:spacing w:before="60" w:after="60"/>
        <w:ind w:hanging="357"/>
        <w:contextualSpacing w:val="0"/>
        <w:rPr>
          <w:rFonts w:eastAsia="Times New Roman" w:cs="Arial"/>
          <w:szCs w:val="18"/>
          <w:lang w:val="en"/>
        </w:rPr>
      </w:pPr>
      <w:r>
        <w:rPr>
          <w:rFonts w:eastAsia="Times New Roman" w:cs="Arial"/>
          <w:szCs w:val="18"/>
          <w:lang w:val="en"/>
        </w:rPr>
        <w:t xml:space="preserve">The </w:t>
      </w:r>
      <w:r w:rsidRPr="006B2ECC">
        <w:rPr>
          <w:rFonts w:eastAsia="Times New Roman" w:cs="Arial"/>
          <w:i/>
          <w:szCs w:val="18"/>
          <w:lang w:val="en"/>
        </w:rPr>
        <w:t xml:space="preserve">Terms of Business for Registered Providers </w:t>
      </w:r>
      <w:r w:rsidRPr="006B2ECC">
        <w:rPr>
          <w:rFonts w:eastAsia="Times New Roman" w:cs="Arial"/>
          <w:szCs w:val="18"/>
          <w:lang w:val="en"/>
        </w:rPr>
        <w:t>(Terms of Business)</w:t>
      </w:r>
      <w:bookmarkStart w:id="2" w:name="_Ref451939853"/>
      <w:r w:rsidRPr="00E32888">
        <w:rPr>
          <w:rStyle w:val="FootnoteReference"/>
          <w:rFonts w:eastAsia="Times New Roman" w:cs="Arial"/>
          <w:szCs w:val="18"/>
          <w:lang w:val="en"/>
        </w:rPr>
        <w:footnoteReference w:id="1"/>
      </w:r>
      <w:bookmarkEnd w:id="2"/>
      <w:r>
        <w:rPr>
          <w:rFonts w:eastAsia="Times New Roman" w:cs="Arial"/>
          <w:szCs w:val="18"/>
          <w:lang w:val="en"/>
        </w:rPr>
        <w:t xml:space="preserve">, including the </w:t>
      </w:r>
      <w:r w:rsidRPr="006B2ECC">
        <w:rPr>
          <w:rFonts w:eastAsia="Times New Roman" w:cs="Arial"/>
          <w:szCs w:val="18"/>
          <w:lang w:val="en"/>
        </w:rPr>
        <w:t>Specialist Disability Accommodation Addendum</w:t>
      </w:r>
      <w:r>
        <w:rPr>
          <w:rFonts w:eastAsia="Times New Roman" w:cs="Arial"/>
          <w:szCs w:val="18"/>
          <w:lang w:val="en"/>
        </w:rPr>
        <w:t>;</w:t>
      </w:r>
    </w:p>
    <w:p w:rsidR="006B2ECC" w:rsidRDefault="006B2ECC" w:rsidP="00EC298B">
      <w:pPr>
        <w:pStyle w:val="ListParagraph"/>
        <w:numPr>
          <w:ilvl w:val="0"/>
          <w:numId w:val="39"/>
        </w:numPr>
        <w:spacing w:before="60" w:after="60"/>
        <w:ind w:hanging="357"/>
        <w:contextualSpacing w:val="0"/>
        <w:rPr>
          <w:rFonts w:eastAsia="Times New Roman" w:cs="Arial"/>
          <w:szCs w:val="18"/>
          <w:lang w:val="en"/>
        </w:rPr>
      </w:pPr>
      <w:r>
        <w:rPr>
          <w:rFonts w:eastAsia="Times New Roman" w:cs="Arial"/>
          <w:szCs w:val="18"/>
          <w:lang w:val="en"/>
        </w:rPr>
        <w:t>T</w:t>
      </w:r>
      <w:r w:rsidRPr="006B2ECC">
        <w:rPr>
          <w:rFonts w:eastAsia="Times New Roman" w:cs="Arial"/>
          <w:szCs w:val="18"/>
          <w:lang w:val="en"/>
        </w:rPr>
        <w:t xml:space="preserve">his </w:t>
      </w:r>
      <w:r w:rsidR="00E71273" w:rsidRPr="00E71273">
        <w:rPr>
          <w:rFonts w:eastAsia="Times New Roman" w:cs="Arial"/>
          <w:i/>
          <w:szCs w:val="18"/>
          <w:lang w:val="en"/>
        </w:rPr>
        <w:t xml:space="preserve">NDIS </w:t>
      </w:r>
      <w:r w:rsidRPr="00E71273">
        <w:rPr>
          <w:rFonts w:eastAsia="Times New Roman" w:cs="Arial"/>
          <w:i/>
          <w:szCs w:val="18"/>
          <w:lang w:val="en"/>
        </w:rPr>
        <w:t>Price Guide</w:t>
      </w:r>
      <w:r w:rsidR="00E71273" w:rsidRPr="00E71273">
        <w:rPr>
          <w:rFonts w:eastAsia="Times New Roman" w:cs="Arial"/>
          <w:i/>
          <w:szCs w:val="18"/>
          <w:lang w:val="en"/>
        </w:rPr>
        <w:t xml:space="preserve"> for SDA</w:t>
      </w:r>
      <w:r w:rsidR="00286E78">
        <w:rPr>
          <w:rFonts w:eastAsia="Times New Roman" w:cs="Arial"/>
          <w:szCs w:val="18"/>
          <w:lang w:val="en"/>
        </w:rPr>
        <w:t xml:space="preserve">; and </w:t>
      </w:r>
    </w:p>
    <w:p w:rsidR="006B2ECC" w:rsidRPr="006B2ECC" w:rsidRDefault="006B2ECC" w:rsidP="00EC298B">
      <w:pPr>
        <w:pStyle w:val="ListParagraph"/>
        <w:numPr>
          <w:ilvl w:val="0"/>
          <w:numId w:val="39"/>
        </w:numPr>
        <w:spacing w:before="60" w:after="60"/>
        <w:ind w:hanging="357"/>
        <w:contextualSpacing w:val="0"/>
        <w:rPr>
          <w:rFonts w:eastAsia="Times New Roman" w:cs="Arial"/>
          <w:szCs w:val="18"/>
          <w:lang w:val="en"/>
        </w:rPr>
      </w:pPr>
      <w:r>
        <w:rPr>
          <w:rFonts w:eastAsia="Times New Roman" w:cs="Arial"/>
          <w:szCs w:val="18"/>
          <w:lang w:val="en"/>
        </w:rPr>
        <w:t>T</w:t>
      </w:r>
      <w:r w:rsidRPr="006B2ECC">
        <w:rPr>
          <w:rFonts w:eastAsia="Times New Roman" w:cs="Arial"/>
          <w:szCs w:val="18"/>
          <w:lang w:val="en"/>
        </w:rPr>
        <w:t xml:space="preserve">he NDIS </w:t>
      </w:r>
      <w:r w:rsidRPr="006B2ECC">
        <w:rPr>
          <w:rFonts w:eastAsia="Times New Roman" w:cs="Arial"/>
          <w:i/>
          <w:szCs w:val="18"/>
          <w:lang w:val="en"/>
        </w:rPr>
        <w:t>Price Guide</w:t>
      </w:r>
      <w:r w:rsidRPr="00E32888">
        <w:rPr>
          <w:rStyle w:val="FootnoteReference"/>
          <w:rFonts w:eastAsia="Times New Roman" w:cs="Arial"/>
          <w:i/>
          <w:szCs w:val="18"/>
          <w:lang w:val="en"/>
        </w:rPr>
        <w:footnoteReference w:id="2"/>
      </w:r>
      <w:r w:rsidRPr="006B2ECC">
        <w:rPr>
          <w:rFonts w:eastAsia="Times New Roman" w:cs="Arial"/>
          <w:szCs w:val="18"/>
          <w:lang w:val="en"/>
        </w:rPr>
        <w:t xml:space="preserve"> for </w:t>
      </w:r>
      <w:r w:rsidR="00E71273">
        <w:rPr>
          <w:rFonts w:eastAsia="Times New Roman" w:cs="Arial"/>
          <w:szCs w:val="18"/>
          <w:lang w:val="en"/>
        </w:rPr>
        <w:t xml:space="preserve">each </w:t>
      </w:r>
      <w:r w:rsidRPr="006B2ECC">
        <w:rPr>
          <w:rFonts w:eastAsia="Times New Roman" w:cs="Arial"/>
          <w:szCs w:val="18"/>
          <w:lang w:val="en"/>
        </w:rPr>
        <w:t>jurisdiction:</w:t>
      </w:r>
    </w:p>
    <w:p w:rsidR="006B2ECC" w:rsidRPr="00286E78" w:rsidRDefault="006B2ECC" w:rsidP="00EC298B">
      <w:pPr>
        <w:pStyle w:val="ListParagraph"/>
        <w:numPr>
          <w:ilvl w:val="1"/>
          <w:numId w:val="39"/>
        </w:numPr>
        <w:spacing w:before="60" w:after="60"/>
        <w:ind w:hanging="357"/>
        <w:contextualSpacing w:val="0"/>
        <w:rPr>
          <w:rFonts w:eastAsia="Times New Roman" w:cs="Arial"/>
          <w:szCs w:val="18"/>
          <w:lang w:val="en"/>
        </w:rPr>
      </w:pPr>
      <w:r w:rsidRPr="00E32888">
        <w:rPr>
          <w:rFonts w:eastAsia="Times New Roman" w:cs="Arial"/>
          <w:szCs w:val="18"/>
          <w:lang w:val="en"/>
        </w:rPr>
        <w:t xml:space="preserve">NDIS </w:t>
      </w:r>
      <w:r w:rsidRPr="00E32888">
        <w:rPr>
          <w:rFonts w:eastAsia="Times New Roman" w:cs="Arial"/>
          <w:i/>
          <w:szCs w:val="18"/>
          <w:lang w:val="en"/>
        </w:rPr>
        <w:t>Price Guide (NSW/Vic/Qld/Tas)</w:t>
      </w:r>
      <w:r w:rsidR="00286E78">
        <w:rPr>
          <w:rFonts w:eastAsia="Times New Roman" w:cs="Arial"/>
          <w:i/>
          <w:szCs w:val="18"/>
          <w:lang w:val="en"/>
        </w:rPr>
        <w:t xml:space="preserve">; </w:t>
      </w:r>
      <w:r w:rsidR="00286E78" w:rsidRPr="00286E78">
        <w:rPr>
          <w:rFonts w:eastAsia="Times New Roman" w:cs="Arial"/>
          <w:szCs w:val="18"/>
          <w:lang w:val="en"/>
        </w:rPr>
        <w:t>and</w:t>
      </w:r>
    </w:p>
    <w:p w:rsidR="006B2ECC" w:rsidRDefault="006B2ECC" w:rsidP="00EC298B">
      <w:pPr>
        <w:pStyle w:val="ListParagraph"/>
        <w:numPr>
          <w:ilvl w:val="1"/>
          <w:numId w:val="39"/>
        </w:numPr>
        <w:spacing w:before="60" w:after="60"/>
        <w:ind w:hanging="357"/>
        <w:contextualSpacing w:val="0"/>
        <w:rPr>
          <w:rFonts w:eastAsia="Times New Roman" w:cs="Arial"/>
          <w:i/>
          <w:szCs w:val="18"/>
          <w:lang w:val="en"/>
        </w:rPr>
      </w:pPr>
      <w:r w:rsidRPr="00E32888">
        <w:rPr>
          <w:rFonts w:eastAsia="Times New Roman" w:cs="Arial"/>
          <w:szCs w:val="18"/>
          <w:lang w:val="en"/>
        </w:rPr>
        <w:lastRenderedPageBreak/>
        <w:t xml:space="preserve">NDIS </w:t>
      </w:r>
      <w:r w:rsidRPr="00E32888">
        <w:rPr>
          <w:rFonts w:eastAsia="Times New Roman" w:cs="Arial"/>
          <w:i/>
          <w:szCs w:val="18"/>
          <w:lang w:val="en"/>
        </w:rPr>
        <w:t>Price Guide (Act/SA/WA/NT)</w:t>
      </w:r>
      <w:r w:rsidR="00E71273">
        <w:rPr>
          <w:rFonts w:eastAsia="Times New Roman" w:cs="Arial"/>
          <w:i/>
          <w:szCs w:val="18"/>
          <w:lang w:val="en"/>
        </w:rPr>
        <w:t>.</w:t>
      </w:r>
    </w:p>
    <w:p w:rsidR="00B1385D" w:rsidRDefault="00286E78" w:rsidP="00AA691B">
      <w:pPr>
        <w:rPr>
          <w:rFonts w:ascii="Helvetica" w:hAnsi="Helvetica" w:cs="Helvetica"/>
          <w:color w:val="6D6D6D"/>
          <w:sz w:val="18"/>
          <w:szCs w:val="18"/>
          <w:lang w:val="en"/>
        </w:rPr>
      </w:pPr>
      <w:r>
        <w:rPr>
          <w:rFonts w:eastAsia="Times New Roman" w:cs="Arial"/>
          <w:szCs w:val="18"/>
          <w:lang w:val="en"/>
        </w:rPr>
        <w:t>Further information to assist P</w:t>
      </w:r>
      <w:r w:rsidR="007C3181" w:rsidRPr="00E32888">
        <w:rPr>
          <w:rFonts w:eastAsia="Times New Roman" w:cs="Arial"/>
          <w:szCs w:val="18"/>
          <w:lang w:val="en"/>
        </w:rPr>
        <w:t xml:space="preserve">roviders </w:t>
      </w:r>
      <w:r>
        <w:rPr>
          <w:rFonts w:eastAsia="Times New Roman" w:cs="Arial"/>
          <w:szCs w:val="18"/>
          <w:lang w:val="en"/>
        </w:rPr>
        <w:t>is also avail</w:t>
      </w:r>
      <w:r w:rsidR="007C3181" w:rsidRPr="00E32888">
        <w:rPr>
          <w:rFonts w:eastAsia="Times New Roman" w:cs="Arial"/>
          <w:szCs w:val="18"/>
          <w:lang w:val="en"/>
        </w:rPr>
        <w:t xml:space="preserve">able </w:t>
      </w:r>
      <w:r w:rsidR="009F2A04">
        <w:rPr>
          <w:rFonts w:eastAsia="Times New Roman" w:cs="Arial"/>
          <w:szCs w:val="18"/>
          <w:lang w:val="en"/>
        </w:rPr>
        <w:t xml:space="preserve">through </w:t>
      </w:r>
      <w:r w:rsidR="007C3181" w:rsidRPr="00E32888">
        <w:rPr>
          <w:rFonts w:eastAsia="Times New Roman" w:cs="Arial"/>
          <w:szCs w:val="18"/>
          <w:lang w:val="en"/>
        </w:rPr>
        <w:t>the NDIS provider portal</w:t>
      </w:r>
      <w:r w:rsidR="001547CE">
        <w:rPr>
          <w:rFonts w:eastAsia="Times New Roman" w:cs="Arial"/>
          <w:szCs w:val="18"/>
          <w:lang w:val="en"/>
        </w:rPr>
        <w:t>.</w:t>
      </w:r>
      <w:r w:rsidR="007C3181" w:rsidRPr="00E32888">
        <w:rPr>
          <w:rStyle w:val="FootnoteReference"/>
          <w:rFonts w:eastAsia="Times New Roman" w:cs="Arial"/>
          <w:szCs w:val="18"/>
          <w:lang w:val="en"/>
        </w:rPr>
        <w:footnoteReference w:id="3"/>
      </w:r>
    </w:p>
    <w:p w:rsidR="00DF26F8" w:rsidRPr="00C22C3E" w:rsidRDefault="00DF26F8" w:rsidP="00715465">
      <w:pPr>
        <w:pStyle w:val="Heading2"/>
      </w:pPr>
      <w:bookmarkStart w:id="3" w:name="_Toc477352075"/>
      <w:r w:rsidRPr="00C22C3E">
        <w:t>Specialist Disability Accommodation</w:t>
      </w:r>
      <w:bookmarkEnd w:id="3"/>
      <w:r w:rsidRPr="00C22C3E">
        <w:t xml:space="preserve"> </w:t>
      </w:r>
    </w:p>
    <w:p w:rsidR="00250C53" w:rsidRDefault="00AE614F" w:rsidP="00250C53">
      <w:bookmarkStart w:id="4" w:name="_Ref453923244"/>
      <w:r>
        <w:t>SDA is o</w:t>
      </w:r>
      <w:r w:rsidR="00250C53" w:rsidRPr="00250C53">
        <w:t xml:space="preserve">ne of the supports that may be funded </w:t>
      </w:r>
      <w:r w:rsidR="00250C53">
        <w:t xml:space="preserve">under the NDIS </w:t>
      </w:r>
      <w:r w:rsidR="00250C53" w:rsidRPr="00250C53">
        <w:t>for some participants who have an extreme functional impairment or very high support needs</w:t>
      </w:r>
      <w:r>
        <w:t>.</w:t>
      </w:r>
      <w:r w:rsidR="00250C53" w:rsidRPr="00250C53">
        <w:t xml:space="preserve"> </w:t>
      </w:r>
    </w:p>
    <w:p w:rsidR="00250C53" w:rsidRPr="00250C53" w:rsidRDefault="00250C53" w:rsidP="00250C53">
      <w:r w:rsidRPr="00250C53">
        <w:t xml:space="preserve">SDA refers to accommodation for people who require specialist housing solutions, including to assist with the delivery of supports that cater for their extreme functional impairment or very high support needs. SDA does not refer to the support services, but the homes in which these are delivered. SDA may, for example, have specialist designs for people with very high needs or a location or features that make it feasible to provide complex or costly supports for independent living. </w:t>
      </w:r>
    </w:p>
    <w:p w:rsidR="002C03F7" w:rsidRPr="004C034F" w:rsidRDefault="002C03F7">
      <w:pPr>
        <w:pStyle w:val="Heading2"/>
      </w:pPr>
      <w:bookmarkStart w:id="5" w:name="_Toc477352076"/>
      <w:bookmarkEnd w:id="4"/>
      <w:r w:rsidRPr="004C034F">
        <w:t>Claiming payment for SDA</w:t>
      </w:r>
      <w:bookmarkEnd w:id="5"/>
    </w:p>
    <w:p w:rsidR="009F2A04" w:rsidRDefault="008D1B26" w:rsidP="002C03F7">
      <w:pPr>
        <w:spacing w:after="120"/>
      </w:pPr>
      <w:r>
        <w:t>Payment for SDA can only be claimed when a registered provider meets all of the criteria to be eligible f</w:t>
      </w:r>
      <w:r w:rsidR="00AE3932">
        <w:t>o</w:t>
      </w:r>
      <w:r>
        <w:t xml:space="preserve">r the payment.  </w:t>
      </w:r>
      <w:r w:rsidR="00AE3932">
        <w:t>T</w:t>
      </w:r>
      <w:r>
        <w:t xml:space="preserve">he criteria that must be met before a registered provider can be paid </w:t>
      </w:r>
      <w:r w:rsidR="00AE3932">
        <w:t xml:space="preserve">the </w:t>
      </w:r>
      <w:r>
        <w:t xml:space="preserve">SDA </w:t>
      </w:r>
      <w:r w:rsidR="00AE3932">
        <w:t xml:space="preserve">price are </w:t>
      </w:r>
      <w:r w:rsidR="00AE614F">
        <w:t xml:space="preserve">set out </w:t>
      </w:r>
      <w:r w:rsidR="00AE3932">
        <w:t xml:space="preserve">in the </w:t>
      </w:r>
      <w:r w:rsidR="009F2A04">
        <w:t xml:space="preserve">NDIS Act </w:t>
      </w:r>
      <w:r w:rsidR="00E82339">
        <w:rPr>
          <w:rFonts w:eastAsia="Times New Roman" w:cs="Arial"/>
          <w:szCs w:val="18"/>
          <w:lang w:val="en"/>
        </w:rPr>
        <w:t xml:space="preserve">and the NDIS Rules made under the Act, including the SDA Rules, </w:t>
      </w:r>
      <w:r w:rsidR="00AE3932">
        <w:t xml:space="preserve">the NDIA’s </w:t>
      </w:r>
      <w:r w:rsidR="009F2A04">
        <w:t>Terms of Business</w:t>
      </w:r>
      <w:r w:rsidR="009128D1">
        <w:t xml:space="preserve"> and related documents.</w:t>
      </w:r>
    </w:p>
    <w:p w:rsidR="009F2A04" w:rsidRPr="003571A9" w:rsidRDefault="009F2A04" w:rsidP="00A130AB">
      <w:pPr>
        <w:spacing w:after="120"/>
        <w:rPr>
          <w:rFonts w:cs="Arial"/>
          <w:szCs w:val="24"/>
        </w:rPr>
      </w:pPr>
      <w:r w:rsidRPr="003571A9">
        <w:rPr>
          <w:rFonts w:cs="Arial"/>
          <w:szCs w:val="24"/>
        </w:rPr>
        <w:t>Some important criteria</w:t>
      </w:r>
      <w:r w:rsidR="00E82339">
        <w:rPr>
          <w:rFonts w:cs="Arial"/>
          <w:szCs w:val="24"/>
        </w:rPr>
        <w:t xml:space="preserve"> in the SDA Rules </w:t>
      </w:r>
      <w:r w:rsidRPr="003571A9">
        <w:rPr>
          <w:rFonts w:cs="Arial"/>
          <w:szCs w:val="24"/>
        </w:rPr>
        <w:t xml:space="preserve">that must be met before a </w:t>
      </w:r>
      <w:r w:rsidR="00AB1B75" w:rsidRPr="003571A9">
        <w:rPr>
          <w:szCs w:val="24"/>
        </w:rPr>
        <w:t>registered</w:t>
      </w:r>
      <w:r w:rsidR="00AB1B75" w:rsidRPr="003571A9">
        <w:rPr>
          <w:rFonts w:cs="Arial"/>
          <w:szCs w:val="24"/>
        </w:rPr>
        <w:t xml:space="preserve"> </w:t>
      </w:r>
      <w:r w:rsidRPr="003571A9">
        <w:rPr>
          <w:rFonts w:cs="Arial"/>
          <w:szCs w:val="24"/>
        </w:rPr>
        <w:t xml:space="preserve">provider can </w:t>
      </w:r>
      <w:r w:rsidR="000A7DD5">
        <w:rPr>
          <w:rFonts w:cs="Arial"/>
          <w:szCs w:val="24"/>
        </w:rPr>
        <w:t>claim payment for</w:t>
      </w:r>
      <w:r w:rsidRPr="003571A9">
        <w:rPr>
          <w:rFonts w:cs="Arial"/>
          <w:szCs w:val="24"/>
        </w:rPr>
        <w:t xml:space="preserve"> SDA are: </w:t>
      </w:r>
    </w:p>
    <w:p w:rsidR="00FA70C8" w:rsidRPr="003571A9" w:rsidRDefault="00FA70C8" w:rsidP="00A130AB">
      <w:pPr>
        <w:pStyle w:val="PlainParagraph"/>
        <w:numPr>
          <w:ilvl w:val="0"/>
          <w:numId w:val="30"/>
        </w:numPr>
        <w:spacing w:before="120" w:after="120"/>
        <w:rPr>
          <w:sz w:val="24"/>
          <w:szCs w:val="24"/>
        </w:rPr>
      </w:pPr>
      <w:r w:rsidRPr="003571A9">
        <w:rPr>
          <w:sz w:val="24"/>
          <w:szCs w:val="24"/>
        </w:rPr>
        <w:t xml:space="preserve">All providers of SDA must be registered providers. </w:t>
      </w:r>
      <w:r w:rsidR="00F139A1">
        <w:rPr>
          <w:sz w:val="24"/>
          <w:szCs w:val="24"/>
        </w:rPr>
        <w:t>A</w:t>
      </w:r>
      <w:r w:rsidR="004D0AA0">
        <w:rPr>
          <w:sz w:val="24"/>
          <w:szCs w:val="24"/>
        </w:rPr>
        <w:t xml:space="preserve"> r</w:t>
      </w:r>
      <w:r w:rsidRPr="003571A9">
        <w:rPr>
          <w:sz w:val="24"/>
          <w:szCs w:val="24"/>
        </w:rPr>
        <w:t>egistered provider</w:t>
      </w:r>
      <w:r w:rsidR="004D0AA0">
        <w:rPr>
          <w:sz w:val="24"/>
          <w:szCs w:val="24"/>
        </w:rPr>
        <w:t>’</w:t>
      </w:r>
      <w:r w:rsidRPr="003571A9">
        <w:rPr>
          <w:sz w:val="24"/>
          <w:szCs w:val="24"/>
        </w:rPr>
        <w:t xml:space="preserve">s </w:t>
      </w:r>
      <w:r w:rsidR="008C25FB">
        <w:rPr>
          <w:sz w:val="24"/>
          <w:szCs w:val="24"/>
        </w:rPr>
        <w:t>approval can be revoked if the</w:t>
      </w:r>
      <w:r w:rsidR="004D0AA0">
        <w:rPr>
          <w:sz w:val="24"/>
          <w:szCs w:val="24"/>
        </w:rPr>
        <w:t xml:space="preserve"> provider </w:t>
      </w:r>
      <w:r w:rsidR="008C25FB">
        <w:rPr>
          <w:sz w:val="24"/>
          <w:szCs w:val="24"/>
        </w:rPr>
        <w:t>do</w:t>
      </w:r>
      <w:r w:rsidR="004D0AA0">
        <w:rPr>
          <w:sz w:val="24"/>
          <w:szCs w:val="24"/>
        </w:rPr>
        <w:t>es</w:t>
      </w:r>
      <w:r w:rsidR="008C25FB">
        <w:rPr>
          <w:sz w:val="24"/>
          <w:szCs w:val="24"/>
        </w:rPr>
        <w:t xml:space="preserve"> not </w:t>
      </w:r>
      <w:r w:rsidRPr="003571A9">
        <w:rPr>
          <w:sz w:val="24"/>
          <w:szCs w:val="24"/>
        </w:rPr>
        <w:t xml:space="preserve">meet the obligations imposed on them by the SDA </w:t>
      </w:r>
      <w:r w:rsidR="003C63D0">
        <w:rPr>
          <w:sz w:val="24"/>
          <w:szCs w:val="24"/>
        </w:rPr>
        <w:t>R</w:t>
      </w:r>
      <w:r w:rsidRPr="003571A9">
        <w:rPr>
          <w:sz w:val="24"/>
          <w:szCs w:val="24"/>
        </w:rPr>
        <w:t xml:space="preserve">ules and the </w:t>
      </w:r>
      <w:r w:rsidR="008C25FB">
        <w:rPr>
          <w:sz w:val="24"/>
          <w:szCs w:val="24"/>
        </w:rPr>
        <w:t xml:space="preserve">NDIA’s </w:t>
      </w:r>
      <w:r w:rsidRPr="003571A9">
        <w:rPr>
          <w:sz w:val="24"/>
          <w:szCs w:val="24"/>
        </w:rPr>
        <w:t>Terms of Business;</w:t>
      </w:r>
    </w:p>
    <w:p w:rsidR="00F139A1" w:rsidRDefault="00AE168F" w:rsidP="00A130AB">
      <w:pPr>
        <w:pStyle w:val="PlainParagraph"/>
        <w:numPr>
          <w:ilvl w:val="0"/>
          <w:numId w:val="30"/>
        </w:numPr>
        <w:spacing w:before="120" w:after="120"/>
        <w:rPr>
          <w:sz w:val="24"/>
          <w:szCs w:val="24"/>
        </w:rPr>
      </w:pPr>
      <w:r>
        <w:rPr>
          <w:sz w:val="24"/>
          <w:szCs w:val="24"/>
        </w:rPr>
        <w:t>C</w:t>
      </w:r>
      <w:r w:rsidR="003571A9" w:rsidRPr="003C63D0">
        <w:rPr>
          <w:sz w:val="24"/>
          <w:szCs w:val="24"/>
        </w:rPr>
        <w:t xml:space="preserve">laims for payment </w:t>
      </w:r>
      <w:r w:rsidR="003C63D0">
        <w:rPr>
          <w:sz w:val="24"/>
          <w:szCs w:val="24"/>
        </w:rPr>
        <w:t xml:space="preserve">by a provider </w:t>
      </w:r>
      <w:r w:rsidR="000A7DD5">
        <w:rPr>
          <w:sz w:val="24"/>
          <w:szCs w:val="24"/>
        </w:rPr>
        <w:t>must be</w:t>
      </w:r>
      <w:r>
        <w:rPr>
          <w:sz w:val="24"/>
          <w:szCs w:val="24"/>
        </w:rPr>
        <w:t xml:space="preserve"> for a </w:t>
      </w:r>
      <w:r w:rsidR="003571A9" w:rsidRPr="003C63D0">
        <w:rPr>
          <w:sz w:val="24"/>
          <w:szCs w:val="24"/>
        </w:rPr>
        <w:t xml:space="preserve">specific Design Category and Building Type </w:t>
      </w:r>
      <w:r w:rsidR="003C63D0">
        <w:rPr>
          <w:sz w:val="24"/>
          <w:szCs w:val="24"/>
        </w:rPr>
        <w:t xml:space="preserve">that is </w:t>
      </w:r>
      <w:r w:rsidR="003571A9" w:rsidRPr="003C63D0">
        <w:rPr>
          <w:sz w:val="24"/>
          <w:szCs w:val="24"/>
        </w:rPr>
        <w:t>identified by the provider</w:t>
      </w:r>
      <w:r w:rsidR="00AE614F">
        <w:rPr>
          <w:sz w:val="24"/>
          <w:szCs w:val="24"/>
        </w:rPr>
        <w:t xml:space="preserve"> when enrolling the dwelling</w:t>
      </w:r>
      <w:r w:rsidR="003571A9" w:rsidRPr="003C63D0">
        <w:rPr>
          <w:sz w:val="24"/>
          <w:szCs w:val="24"/>
        </w:rPr>
        <w:t xml:space="preserve">.  The provider must ensure that the dwelling meets all of the requirements of the Design Category and Building Type </w:t>
      </w:r>
      <w:r w:rsidR="003C63D0" w:rsidRPr="003C63D0">
        <w:rPr>
          <w:sz w:val="24"/>
          <w:szCs w:val="24"/>
        </w:rPr>
        <w:t xml:space="preserve">in the SDA Rules and this Price </w:t>
      </w:r>
      <w:r w:rsidR="003C63D0">
        <w:rPr>
          <w:sz w:val="24"/>
          <w:szCs w:val="24"/>
        </w:rPr>
        <w:t>G</w:t>
      </w:r>
      <w:r w:rsidR="003C63D0" w:rsidRPr="003C63D0">
        <w:rPr>
          <w:sz w:val="24"/>
          <w:szCs w:val="24"/>
        </w:rPr>
        <w:t xml:space="preserve">uide </w:t>
      </w:r>
      <w:r w:rsidR="003571A9" w:rsidRPr="003C63D0">
        <w:rPr>
          <w:sz w:val="24"/>
          <w:szCs w:val="24"/>
        </w:rPr>
        <w:t>for which the claim is made</w:t>
      </w:r>
      <w:r w:rsidR="001C2938">
        <w:rPr>
          <w:sz w:val="24"/>
          <w:szCs w:val="24"/>
        </w:rPr>
        <w:t xml:space="preserve"> and </w:t>
      </w:r>
      <w:r>
        <w:rPr>
          <w:sz w:val="24"/>
          <w:szCs w:val="24"/>
        </w:rPr>
        <w:t xml:space="preserve">for which </w:t>
      </w:r>
      <w:r w:rsidR="001C2938">
        <w:rPr>
          <w:sz w:val="24"/>
          <w:szCs w:val="24"/>
        </w:rPr>
        <w:t xml:space="preserve">the dwelling </w:t>
      </w:r>
      <w:r>
        <w:rPr>
          <w:sz w:val="24"/>
          <w:szCs w:val="24"/>
        </w:rPr>
        <w:t xml:space="preserve">is </w:t>
      </w:r>
      <w:r w:rsidR="001C2938">
        <w:rPr>
          <w:sz w:val="24"/>
          <w:szCs w:val="24"/>
        </w:rPr>
        <w:t>enrolled</w:t>
      </w:r>
      <w:r w:rsidR="003C63D0">
        <w:rPr>
          <w:sz w:val="24"/>
          <w:szCs w:val="24"/>
        </w:rPr>
        <w:t>;</w:t>
      </w:r>
      <w:r w:rsidR="003571A9" w:rsidRPr="003C63D0">
        <w:rPr>
          <w:sz w:val="24"/>
          <w:szCs w:val="24"/>
        </w:rPr>
        <w:t xml:space="preserve">  </w:t>
      </w:r>
    </w:p>
    <w:p w:rsidR="00F139A1" w:rsidRPr="00A130AB" w:rsidRDefault="00D432FB" w:rsidP="00A130AB">
      <w:pPr>
        <w:pStyle w:val="PlainParagraph"/>
        <w:numPr>
          <w:ilvl w:val="0"/>
          <w:numId w:val="30"/>
        </w:numPr>
        <w:spacing w:before="120" w:after="120"/>
        <w:rPr>
          <w:sz w:val="24"/>
          <w:szCs w:val="24"/>
        </w:rPr>
      </w:pPr>
      <w:r w:rsidRPr="00F139A1">
        <w:rPr>
          <w:sz w:val="24"/>
          <w:szCs w:val="24"/>
        </w:rPr>
        <w:t>The dwelling for which SDA is claimed mu</w:t>
      </w:r>
      <w:r w:rsidR="00F139A1">
        <w:rPr>
          <w:sz w:val="24"/>
          <w:szCs w:val="24"/>
        </w:rPr>
        <w:t>st be enrolled</w:t>
      </w:r>
      <w:r w:rsidR="00B35EC4">
        <w:rPr>
          <w:sz w:val="24"/>
          <w:szCs w:val="24"/>
        </w:rPr>
        <w:t xml:space="preserve"> with the NDIA</w:t>
      </w:r>
      <w:r w:rsidR="00F139A1">
        <w:rPr>
          <w:sz w:val="24"/>
          <w:szCs w:val="24"/>
        </w:rPr>
        <w:t xml:space="preserve">. </w:t>
      </w:r>
      <w:r w:rsidR="00AE614F" w:rsidRPr="00F139A1">
        <w:rPr>
          <w:sz w:val="24"/>
          <w:szCs w:val="24"/>
        </w:rPr>
        <w:t xml:space="preserve">The requirements that must be met for a dwelling to be enrolled are set out in the SDA Rules and this Price Guide.  </w:t>
      </w:r>
      <w:r w:rsidR="00AE614F" w:rsidRPr="00A130AB">
        <w:rPr>
          <w:sz w:val="24"/>
          <w:szCs w:val="24"/>
        </w:rPr>
        <w:t xml:space="preserve">In summary the </w:t>
      </w:r>
      <w:r w:rsidR="00A11D30" w:rsidRPr="00A130AB">
        <w:rPr>
          <w:sz w:val="24"/>
          <w:szCs w:val="24"/>
        </w:rPr>
        <w:t>requirements</w:t>
      </w:r>
      <w:r w:rsidR="00AE614F" w:rsidRPr="00A130AB">
        <w:rPr>
          <w:sz w:val="24"/>
          <w:szCs w:val="24"/>
        </w:rPr>
        <w:t xml:space="preserve"> are</w:t>
      </w:r>
      <w:r w:rsidR="00B35EC4">
        <w:rPr>
          <w:sz w:val="24"/>
          <w:szCs w:val="24"/>
        </w:rPr>
        <w:t xml:space="preserve"> that the dwelling</w:t>
      </w:r>
      <w:r w:rsidR="00AE614F" w:rsidRPr="00A130AB">
        <w:rPr>
          <w:sz w:val="24"/>
          <w:szCs w:val="24"/>
        </w:rPr>
        <w:t>:</w:t>
      </w:r>
      <w:r w:rsidR="00F139A1" w:rsidRPr="00A130AB">
        <w:rPr>
          <w:sz w:val="24"/>
          <w:szCs w:val="24"/>
        </w:rPr>
        <w:t xml:space="preserve"> </w:t>
      </w:r>
    </w:p>
    <w:p w:rsidR="00B35EC4" w:rsidRDefault="00EE3572" w:rsidP="00EC298B">
      <w:pPr>
        <w:pStyle w:val="ListParagraph"/>
        <w:numPr>
          <w:ilvl w:val="2"/>
          <w:numId w:val="30"/>
        </w:numPr>
        <w:spacing w:after="120" w:line="280" w:lineRule="exact"/>
        <w:ind w:left="1803" w:hanging="181"/>
        <w:contextualSpacing w:val="0"/>
      </w:pPr>
      <w:r>
        <w:t xml:space="preserve">is </w:t>
      </w:r>
      <w:r w:rsidR="00B35EC4">
        <w:t xml:space="preserve">a permanent dwelling (for example, it is not a mobile home); </w:t>
      </w:r>
    </w:p>
    <w:p w:rsidR="00B35EC4" w:rsidRDefault="00EE3572" w:rsidP="00EC298B">
      <w:pPr>
        <w:pStyle w:val="ListParagraph"/>
        <w:numPr>
          <w:ilvl w:val="2"/>
          <w:numId w:val="30"/>
        </w:numPr>
        <w:spacing w:after="120" w:line="280" w:lineRule="exact"/>
        <w:ind w:left="1803" w:hanging="181"/>
        <w:contextualSpacing w:val="0"/>
      </w:pPr>
      <w:r>
        <w:t xml:space="preserve">is </w:t>
      </w:r>
      <w:r w:rsidR="00B35EC4">
        <w:t xml:space="preserve">intended to provide long-term accommodation for at least one participant (for example, is not used only for respite, emergency or temporary accommodation); </w:t>
      </w:r>
    </w:p>
    <w:p w:rsidR="00B35EC4" w:rsidRDefault="00EE3572" w:rsidP="00EC298B">
      <w:pPr>
        <w:pStyle w:val="ListParagraph"/>
        <w:numPr>
          <w:ilvl w:val="2"/>
          <w:numId w:val="30"/>
        </w:numPr>
        <w:spacing w:after="120" w:line="280" w:lineRule="exact"/>
        <w:ind w:left="1803" w:hanging="181"/>
        <w:contextualSpacing w:val="0"/>
      </w:pPr>
      <w:r>
        <w:lastRenderedPageBreak/>
        <w:t xml:space="preserve">is </w:t>
      </w:r>
      <w:r w:rsidR="00B35EC4">
        <w:t>not already being funded as accommodation by the Commonwealth, a State or Territory under a scheme unrelated to disability;</w:t>
      </w:r>
    </w:p>
    <w:p w:rsidR="00B35EC4" w:rsidRPr="00EC298B" w:rsidRDefault="00EE3572" w:rsidP="00EC298B">
      <w:pPr>
        <w:pStyle w:val="PlainParagraph"/>
        <w:numPr>
          <w:ilvl w:val="2"/>
          <w:numId w:val="30"/>
        </w:numPr>
        <w:spacing w:before="120" w:after="120"/>
        <w:ind w:left="1803" w:hanging="181"/>
        <w:rPr>
          <w:sz w:val="24"/>
          <w:szCs w:val="24"/>
        </w:rPr>
      </w:pPr>
      <w:r>
        <w:t xml:space="preserve">is </w:t>
      </w:r>
      <w:r w:rsidR="00B35EC4">
        <w:t>not excluded from SDA because it has previously received home modifications funding from the NDIA of the type described in SDA Rule 6.9; and</w:t>
      </w:r>
    </w:p>
    <w:p w:rsidR="00EE3572" w:rsidRPr="00EC298B" w:rsidRDefault="00EE3572" w:rsidP="00EC298B">
      <w:pPr>
        <w:pStyle w:val="PlainParagraph"/>
        <w:numPr>
          <w:ilvl w:val="2"/>
          <w:numId w:val="30"/>
        </w:numPr>
        <w:spacing w:before="120" w:after="120"/>
        <w:ind w:left="1803" w:hanging="181"/>
        <w:rPr>
          <w:sz w:val="24"/>
          <w:szCs w:val="24"/>
        </w:rPr>
      </w:pPr>
      <w:r>
        <w:rPr>
          <w:sz w:val="24"/>
          <w:szCs w:val="24"/>
        </w:rPr>
        <w:t xml:space="preserve">is not excluded from being </w:t>
      </w:r>
      <w:r w:rsidRPr="003571A9">
        <w:rPr>
          <w:sz w:val="24"/>
          <w:szCs w:val="24"/>
        </w:rPr>
        <w:t xml:space="preserve">SDA </w:t>
      </w:r>
      <w:r>
        <w:rPr>
          <w:sz w:val="24"/>
          <w:szCs w:val="24"/>
        </w:rPr>
        <w:t xml:space="preserve">because it is the </w:t>
      </w:r>
      <w:r w:rsidRPr="003571A9">
        <w:rPr>
          <w:sz w:val="24"/>
          <w:szCs w:val="24"/>
        </w:rPr>
        <w:t>parental home</w:t>
      </w:r>
      <w:r>
        <w:rPr>
          <w:sz w:val="24"/>
          <w:szCs w:val="24"/>
        </w:rPr>
        <w:t>;</w:t>
      </w:r>
      <w:r w:rsidRPr="003571A9">
        <w:rPr>
          <w:sz w:val="24"/>
          <w:szCs w:val="24"/>
        </w:rPr>
        <w:t xml:space="preserve"> </w:t>
      </w:r>
      <w:r>
        <w:rPr>
          <w:sz w:val="24"/>
          <w:szCs w:val="24"/>
        </w:rPr>
        <w:t>and</w:t>
      </w:r>
    </w:p>
    <w:p w:rsidR="004077B2" w:rsidRPr="00F139A1" w:rsidRDefault="00AE168F" w:rsidP="00EC298B">
      <w:pPr>
        <w:pStyle w:val="PlainParagraph"/>
        <w:numPr>
          <w:ilvl w:val="2"/>
          <w:numId w:val="30"/>
        </w:numPr>
        <w:spacing w:before="120" w:after="120"/>
        <w:ind w:left="1803" w:hanging="181"/>
        <w:rPr>
          <w:sz w:val="24"/>
          <w:szCs w:val="24"/>
        </w:rPr>
      </w:pPr>
      <w:r w:rsidRPr="00F139A1">
        <w:rPr>
          <w:sz w:val="24"/>
          <w:szCs w:val="24"/>
        </w:rPr>
        <w:t>meet</w:t>
      </w:r>
      <w:r w:rsidR="00B35EC4">
        <w:rPr>
          <w:sz w:val="24"/>
          <w:szCs w:val="24"/>
        </w:rPr>
        <w:t>s</w:t>
      </w:r>
      <w:r w:rsidRPr="00F139A1">
        <w:rPr>
          <w:sz w:val="24"/>
          <w:szCs w:val="24"/>
        </w:rPr>
        <w:t xml:space="preserve"> the requirements of a New Build</w:t>
      </w:r>
      <w:r w:rsidR="00B35EC4">
        <w:rPr>
          <w:sz w:val="24"/>
          <w:szCs w:val="24"/>
        </w:rPr>
        <w:t xml:space="preserve"> (including density restrictions)</w:t>
      </w:r>
      <w:r w:rsidRPr="00F139A1">
        <w:rPr>
          <w:sz w:val="24"/>
          <w:szCs w:val="24"/>
        </w:rPr>
        <w:t>, Existing Stock or Legacy Stock set out in the SDA Rules and this Price Guide</w:t>
      </w:r>
      <w:r w:rsidR="00B35EC4">
        <w:rPr>
          <w:sz w:val="24"/>
          <w:szCs w:val="24"/>
        </w:rPr>
        <w:t>, i</w:t>
      </w:r>
      <w:r w:rsidR="004077B2" w:rsidRPr="00F139A1">
        <w:rPr>
          <w:sz w:val="24"/>
          <w:szCs w:val="24"/>
        </w:rPr>
        <w:t>nclud</w:t>
      </w:r>
      <w:r w:rsidR="00B35EC4">
        <w:rPr>
          <w:sz w:val="24"/>
          <w:szCs w:val="24"/>
        </w:rPr>
        <w:t>ing</w:t>
      </w:r>
      <w:r w:rsidR="004077B2" w:rsidRPr="00F139A1">
        <w:rPr>
          <w:sz w:val="24"/>
          <w:szCs w:val="24"/>
        </w:rPr>
        <w:t xml:space="preserve">: </w:t>
      </w:r>
    </w:p>
    <w:p w:rsidR="004077B2" w:rsidRPr="00EC298B" w:rsidRDefault="004077B2" w:rsidP="00EC298B">
      <w:pPr>
        <w:pStyle w:val="ListParagraph"/>
        <w:numPr>
          <w:ilvl w:val="4"/>
          <w:numId w:val="30"/>
        </w:numPr>
        <w:spacing w:after="120"/>
        <w:rPr>
          <w:rFonts w:cs="Arial"/>
        </w:rPr>
      </w:pPr>
      <w:r w:rsidRPr="00EC298B">
        <w:rPr>
          <w:rFonts w:cs="Arial"/>
        </w:rPr>
        <w:t xml:space="preserve">For New Builds  - all its shared areas and the majority of its bedrooms and similar sized private rooms comply with the Minimum Requirements in this Price Guide for the </w:t>
      </w:r>
      <w:r w:rsidR="00A11D30" w:rsidRPr="00EC298B">
        <w:rPr>
          <w:rFonts w:cs="Arial"/>
        </w:rPr>
        <w:t>D</w:t>
      </w:r>
      <w:r w:rsidRPr="00EC298B">
        <w:rPr>
          <w:rFonts w:cs="Arial"/>
        </w:rPr>
        <w:t xml:space="preserve">esign </w:t>
      </w:r>
      <w:r w:rsidR="00A11D30" w:rsidRPr="00EC298B">
        <w:rPr>
          <w:rFonts w:cs="Arial"/>
        </w:rPr>
        <w:t>C</w:t>
      </w:r>
      <w:r w:rsidRPr="00EC298B">
        <w:rPr>
          <w:rFonts w:cs="Arial"/>
        </w:rPr>
        <w:t xml:space="preserve">ategory of the dwelling; or </w:t>
      </w:r>
    </w:p>
    <w:p w:rsidR="00826269" w:rsidRPr="00EC298B" w:rsidRDefault="004077B2" w:rsidP="00EC298B">
      <w:pPr>
        <w:pStyle w:val="ListParagraph"/>
        <w:numPr>
          <w:ilvl w:val="4"/>
          <w:numId w:val="30"/>
        </w:numPr>
        <w:rPr>
          <w:szCs w:val="24"/>
        </w:rPr>
      </w:pPr>
      <w:r w:rsidRPr="00EC298B">
        <w:rPr>
          <w:szCs w:val="24"/>
        </w:rPr>
        <w:t>For Existing Stock</w:t>
      </w:r>
      <w:r w:rsidRPr="00EC298B">
        <w:rPr>
          <w:rFonts w:cs="Arial"/>
        </w:rPr>
        <w:t xml:space="preserve"> - all its shared areas and the majority of its bedrooms and similar sized private rooms substantially comply with the Minimum Requirements in the NDIS Price Guide for the </w:t>
      </w:r>
      <w:r w:rsidR="00A11D30" w:rsidRPr="00EC298B">
        <w:rPr>
          <w:rFonts w:cs="Arial"/>
        </w:rPr>
        <w:t>D</w:t>
      </w:r>
      <w:r w:rsidRPr="00EC298B">
        <w:rPr>
          <w:rFonts w:cs="Arial"/>
        </w:rPr>
        <w:t xml:space="preserve">esign </w:t>
      </w:r>
      <w:r w:rsidR="00A11D30" w:rsidRPr="00EC298B">
        <w:rPr>
          <w:rFonts w:cs="Arial"/>
        </w:rPr>
        <w:t>C</w:t>
      </w:r>
      <w:r w:rsidRPr="00EC298B">
        <w:rPr>
          <w:rFonts w:cs="Arial"/>
        </w:rPr>
        <w:t>ategory of the dwelling</w:t>
      </w:r>
      <w:r w:rsidR="00B35EC4">
        <w:rPr>
          <w:szCs w:val="24"/>
        </w:rPr>
        <w:t>.</w:t>
      </w:r>
    </w:p>
    <w:p w:rsidR="00B35EC4" w:rsidRDefault="00AE168F" w:rsidP="00EC298B">
      <w:pPr>
        <w:pStyle w:val="PlainParagraph"/>
        <w:numPr>
          <w:ilvl w:val="0"/>
          <w:numId w:val="30"/>
        </w:numPr>
        <w:spacing w:before="120" w:after="120"/>
        <w:rPr>
          <w:sz w:val="24"/>
          <w:szCs w:val="24"/>
        </w:rPr>
      </w:pPr>
      <w:r>
        <w:rPr>
          <w:sz w:val="24"/>
          <w:szCs w:val="24"/>
        </w:rPr>
        <w:t xml:space="preserve">The </w:t>
      </w:r>
      <w:r w:rsidR="00AB1B75">
        <w:rPr>
          <w:sz w:val="24"/>
          <w:szCs w:val="24"/>
        </w:rPr>
        <w:t>r</w:t>
      </w:r>
      <w:r>
        <w:rPr>
          <w:sz w:val="24"/>
          <w:szCs w:val="24"/>
        </w:rPr>
        <w:t xml:space="preserve">egistered </w:t>
      </w:r>
      <w:r w:rsidR="00AB1B75">
        <w:rPr>
          <w:sz w:val="24"/>
          <w:szCs w:val="24"/>
        </w:rPr>
        <w:t>p</w:t>
      </w:r>
      <w:r>
        <w:rPr>
          <w:sz w:val="24"/>
          <w:szCs w:val="24"/>
        </w:rPr>
        <w:t>rovider must have the certifications required by the SDA Rules that</w:t>
      </w:r>
      <w:r w:rsidR="00AB1B75">
        <w:rPr>
          <w:sz w:val="24"/>
          <w:szCs w:val="24"/>
        </w:rPr>
        <w:t xml:space="preserve"> the dwelling:</w:t>
      </w:r>
      <w:r w:rsidR="00B35EC4">
        <w:rPr>
          <w:sz w:val="24"/>
          <w:szCs w:val="24"/>
        </w:rPr>
        <w:t xml:space="preserve"> </w:t>
      </w:r>
    </w:p>
    <w:p w:rsidR="00B35EC4" w:rsidRDefault="00AE168F" w:rsidP="00EC298B">
      <w:pPr>
        <w:pStyle w:val="PlainParagraph"/>
        <w:numPr>
          <w:ilvl w:val="2"/>
          <w:numId w:val="30"/>
        </w:numPr>
        <w:spacing w:before="120" w:after="120"/>
        <w:rPr>
          <w:sz w:val="24"/>
          <w:szCs w:val="24"/>
        </w:rPr>
      </w:pPr>
      <w:r w:rsidRPr="00B35EC4">
        <w:rPr>
          <w:szCs w:val="24"/>
        </w:rPr>
        <w:t>complies with the SDA Rules and this Price Guide</w:t>
      </w:r>
      <w:r w:rsidR="00AB1B75" w:rsidRPr="00B35EC4">
        <w:rPr>
          <w:szCs w:val="24"/>
        </w:rPr>
        <w:t>;</w:t>
      </w:r>
      <w:r w:rsidR="00A11D30" w:rsidRPr="00B35EC4">
        <w:rPr>
          <w:szCs w:val="24"/>
        </w:rPr>
        <w:t xml:space="preserve"> and</w:t>
      </w:r>
    </w:p>
    <w:p w:rsidR="00AE168F" w:rsidRPr="00B35EC4" w:rsidRDefault="00AB1B75" w:rsidP="00EC298B">
      <w:pPr>
        <w:pStyle w:val="PlainParagraph"/>
        <w:numPr>
          <w:ilvl w:val="2"/>
          <w:numId w:val="30"/>
        </w:numPr>
        <w:spacing w:before="120" w:after="120"/>
        <w:rPr>
          <w:sz w:val="24"/>
          <w:szCs w:val="24"/>
        </w:rPr>
      </w:pPr>
      <w:r w:rsidRPr="00B35EC4">
        <w:rPr>
          <w:sz w:val="24"/>
          <w:szCs w:val="24"/>
        </w:rPr>
        <w:t xml:space="preserve">meets </w:t>
      </w:r>
      <w:r w:rsidR="00A11D30" w:rsidRPr="00B35EC4">
        <w:rPr>
          <w:sz w:val="24"/>
          <w:szCs w:val="24"/>
        </w:rPr>
        <w:t xml:space="preserve">all applicable </w:t>
      </w:r>
      <w:r w:rsidRPr="00B35EC4">
        <w:rPr>
          <w:sz w:val="24"/>
          <w:szCs w:val="24"/>
        </w:rPr>
        <w:t>building codes and laws;</w:t>
      </w:r>
      <w:r w:rsidR="00AE168F" w:rsidRPr="00B35EC4">
        <w:rPr>
          <w:sz w:val="24"/>
          <w:szCs w:val="24"/>
        </w:rPr>
        <w:t xml:space="preserve">  </w:t>
      </w:r>
    </w:p>
    <w:p w:rsidR="00FA70C8" w:rsidRPr="00EE3572" w:rsidRDefault="00FA70C8" w:rsidP="00EC298B">
      <w:pPr>
        <w:pStyle w:val="PlainParagraph"/>
        <w:numPr>
          <w:ilvl w:val="0"/>
          <w:numId w:val="30"/>
        </w:numPr>
        <w:spacing w:before="120" w:after="120"/>
        <w:rPr>
          <w:sz w:val="24"/>
          <w:szCs w:val="24"/>
        </w:rPr>
      </w:pPr>
      <w:r w:rsidRPr="009851E6">
        <w:rPr>
          <w:sz w:val="24"/>
          <w:szCs w:val="24"/>
        </w:rPr>
        <w:t xml:space="preserve">SDA </w:t>
      </w:r>
      <w:r w:rsidR="006A7A38" w:rsidRPr="009851E6">
        <w:rPr>
          <w:sz w:val="24"/>
          <w:szCs w:val="24"/>
        </w:rPr>
        <w:t xml:space="preserve">is </w:t>
      </w:r>
      <w:r w:rsidRPr="009851E6">
        <w:rPr>
          <w:sz w:val="24"/>
          <w:szCs w:val="24"/>
        </w:rPr>
        <w:t>only paid while a participant resides in the dwelling or, in limited cases, for a period after a vacancy arises</w:t>
      </w:r>
      <w:r w:rsidR="00EE3572">
        <w:rPr>
          <w:sz w:val="24"/>
          <w:szCs w:val="24"/>
        </w:rPr>
        <w:t xml:space="preserve"> (outlined below).</w:t>
      </w:r>
    </w:p>
    <w:p w:rsidR="004D0AA0" w:rsidRPr="004D0AA0" w:rsidRDefault="004D0AA0" w:rsidP="00EC298B">
      <w:pPr>
        <w:pStyle w:val="Heading3"/>
      </w:pPr>
      <w:bookmarkStart w:id="6" w:name="_Ref461806396"/>
      <w:r w:rsidRPr="004D0AA0">
        <w:t>Registered providers obligations</w:t>
      </w:r>
    </w:p>
    <w:p w:rsidR="00A0788C" w:rsidRDefault="00A0788C" w:rsidP="004D0AA0">
      <w:pPr>
        <w:pStyle w:val="PlainParagraph"/>
        <w:spacing w:before="120" w:after="120"/>
        <w:rPr>
          <w:sz w:val="24"/>
          <w:szCs w:val="24"/>
        </w:rPr>
      </w:pPr>
      <w:r>
        <w:rPr>
          <w:sz w:val="24"/>
          <w:szCs w:val="24"/>
        </w:rPr>
        <w:t>In addition to the requirements summarised above</w:t>
      </w:r>
      <w:r w:rsidR="00270277">
        <w:rPr>
          <w:sz w:val="24"/>
          <w:szCs w:val="24"/>
        </w:rPr>
        <w:t>,</w:t>
      </w:r>
      <w:r>
        <w:rPr>
          <w:sz w:val="24"/>
          <w:szCs w:val="24"/>
        </w:rPr>
        <w:t xml:space="preserve"> registered providers must also meet a number of obligations imposed on providers of SDA.</w:t>
      </w:r>
    </w:p>
    <w:p w:rsidR="001621EB" w:rsidRPr="001621EB" w:rsidRDefault="001621EB" w:rsidP="001621EB">
      <w:pPr>
        <w:pStyle w:val="Dot1"/>
        <w:numPr>
          <w:ilvl w:val="0"/>
          <w:numId w:val="0"/>
        </w:numPr>
        <w:spacing w:before="120" w:after="120"/>
        <w:rPr>
          <w:sz w:val="24"/>
          <w:szCs w:val="24"/>
        </w:rPr>
      </w:pPr>
      <w:r w:rsidRPr="001621EB">
        <w:rPr>
          <w:sz w:val="24"/>
          <w:szCs w:val="24"/>
        </w:rPr>
        <w:t>The obligations include:</w:t>
      </w:r>
    </w:p>
    <w:p w:rsidR="001621EB" w:rsidRPr="001621EB" w:rsidRDefault="001621EB" w:rsidP="00F139A1">
      <w:pPr>
        <w:pStyle w:val="ListParagraph"/>
        <w:numPr>
          <w:ilvl w:val="0"/>
          <w:numId w:val="49"/>
        </w:numPr>
        <w:spacing w:after="120" w:line="259" w:lineRule="auto"/>
        <w:contextualSpacing w:val="0"/>
        <w:rPr>
          <w:rFonts w:cs="Arial"/>
          <w:szCs w:val="24"/>
        </w:rPr>
      </w:pPr>
      <w:r w:rsidRPr="001621EB">
        <w:rPr>
          <w:rFonts w:cs="Arial"/>
          <w:szCs w:val="24"/>
        </w:rPr>
        <w:t xml:space="preserve">A registered provider must have a written service agreement for SDA with a participant or, if </w:t>
      </w:r>
      <w:bookmarkStart w:id="7" w:name="_Ref454468899"/>
      <w:r w:rsidRPr="001621EB">
        <w:rPr>
          <w:rFonts w:cs="Arial"/>
          <w:szCs w:val="24"/>
        </w:rPr>
        <w:t>agreement cannot be reached, work with the participant to establish an agreement, provide a copy to the participant and act in accordance with the terms of the agreement.</w:t>
      </w:r>
      <w:bookmarkEnd w:id="7"/>
      <w:r w:rsidRPr="001621EB">
        <w:rPr>
          <w:rFonts w:cs="Arial"/>
          <w:szCs w:val="24"/>
        </w:rPr>
        <w:t xml:space="preserve"> The </w:t>
      </w:r>
      <w:r w:rsidR="00A67489">
        <w:rPr>
          <w:rFonts w:cs="Arial"/>
          <w:szCs w:val="24"/>
        </w:rPr>
        <w:t>T</w:t>
      </w:r>
      <w:r w:rsidRPr="001621EB">
        <w:rPr>
          <w:rFonts w:cs="Arial"/>
          <w:szCs w:val="24"/>
        </w:rPr>
        <w:t xml:space="preserve">erms of </w:t>
      </w:r>
      <w:r w:rsidR="00A67489">
        <w:rPr>
          <w:rFonts w:cs="Arial"/>
          <w:szCs w:val="24"/>
        </w:rPr>
        <w:t>B</w:t>
      </w:r>
      <w:r w:rsidRPr="001621EB">
        <w:rPr>
          <w:rFonts w:cs="Arial"/>
          <w:szCs w:val="24"/>
        </w:rPr>
        <w:t xml:space="preserve">usiness set out the matters that must be included in the agreement; </w:t>
      </w:r>
    </w:p>
    <w:p w:rsidR="001621EB" w:rsidRPr="001621EB" w:rsidRDefault="00205405" w:rsidP="00F139A1">
      <w:pPr>
        <w:pStyle w:val="ListParagraph"/>
        <w:numPr>
          <w:ilvl w:val="0"/>
          <w:numId w:val="49"/>
        </w:numPr>
        <w:spacing w:after="120" w:line="259" w:lineRule="auto"/>
        <w:contextualSpacing w:val="0"/>
        <w:rPr>
          <w:rFonts w:cs="Arial"/>
          <w:szCs w:val="24"/>
        </w:rPr>
      </w:pPr>
      <w:r>
        <w:rPr>
          <w:rFonts w:cs="Arial"/>
          <w:szCs w:val="24"/>
        </w:rPr>
        <w:t>Registered providers must comply</w:t>
      </w:r>
      <w:r w:rsidR="001621EB" w:rsidRPr="001621EB">
        <w:rPr>
          <w:rFonts w:cs="Arial"/>
          <w:szCs w:val="24"/>
        </w:rPr>
        <w:t xml:space="preserve"> with all Commonwealth, State or Territory laws that apply to the provision of SDA. A registered provider must comply with these laws and have mechanisms in place to ensure ongoing compliance, including in relation to employees, contractors or other persons engaged by the provider;</w:t>
      </w:r>
    </w:p>
    <w:p w:rsidR="00BB5BC6" w:rsidRPr="00BB5BC6" w:rsidRDefault="00BB5BC6" w:rsidP="00EC298B">
      <w:pPr>
        <w:pStyle w:val="ListParagraph"/>
        <w:numPr>
          <w:ilvl w:val="0"/>
          <w:numId w:val="49"/>
        </w:numPr>
        <w:spacing w:after="120"/>
        <w:ind w:left="714" w:hanging="357"/>
        <w:contextualSpacing w:val="0"/>
        <w:rPr>
          <w:szCs w:val="24"/>
        </w:rPr>
      </w:pPr>
      <w:r>
        <w:t xml:space="preserve">Registered </w:t>
      </w:r>
      <w:r w:rsidR="007B5ABF">
        <w:t>p</w:t>
      </w:r>
      <w:r>
        <w:t>roviders are required to ensure their dwellings are correctly enrolled and m</w:t>
      </w:r>
      <w:r w:rsidR="001621EB" w:rsidRPr="00BB5BC6">
        <w:rPr>
          <w:rFonts w:cs="Arial"/>
          <w:szCs w:val="24"/>
        </w:rPr>
        <w:t xml:space="preserve">eet the requirements for the enrolment of </w:t>
      </w:r>
      <w:r w:rsidR="00D07041">
        <w:rPr>
          <w:rFonts w:cs="Arial"/>
          <w:szCs w:val="24"/>
        </w:rPr>
        <w:t xml:space="preserve">the </w:t>
      </w:r>
      <w:r w:rsidR="001621EB" w:rsidRPr="00BB5BC6">
        <w:rPr>
          <w:rFonts w:cs="Arial"/>
          <w:szCs w:val="24"/>
        </w:rPr>
        <w:t>dwellings. For example,</w:t>
      </w:r>
      <w:r>
        <w:t xml:space="preserve"> </w:t>
      </w:r>
      <w:r w:rsidR="00D07041">
        <w:t>r</w:t>
      </w:r>
      <w:r>
        <w:t xml:space="preserve">egistered </w:t>
      </w:r>
      <w:r w:rsidR="00D07041">
        <w:t>providers</w:t>
      </w:r>
      <w:r>
        <w:t xml:space="preserve"> are required to notify the NDIA within 5 working days if there is a change in the dwelling</w:t>
      </w:r>
      <w:r w:rsidR="00EB42A9">
        <w:t>’</w:t>
      </w:r>
      <w:r>
        <w:t xml:space="preserve">s building type or </w:t>
      </w:r>
      <w:r w:rsidR="00AE614F">
        <w:t>D</w:t>
      </w:r>
      <w:r>
        <w:t xml:space="preserve">esign </w:t>
      </w:r>
      <w:r w:rsidR="00AE614F">
        <w:t>C</w:t>
      </w:r>
      <w:r>
        <w:t xml:space="preserve">ategory (SDA Rule 7.21) or if the </w:t>
      </w:r>
      <w:r w:rsidR="00AE614F">
        <w:t>B</w:t>
      </w:r>
      <w:r>
        <w:t xml:space="preserve">uilding </w:t>
      </w:r>
      <w:r w:rsidR="00AE614F">
        <w:t>T</w:t>
      </w:r>
      <w:r>
        <w:t xml:space="preserve">ype or </w:t>
      </w:r>
      <w:r w:rsidR="00AE614F">
        <w:t>D</w:t>
      </w:r>
      <w:r>
        <w:t xml:space="preserve">esign </w:t>
      </w:r>
      <w:r w:rsidR="00AE614F">
        <w:t>C</w:t>
      </w:r>
      <w:r>
        <w:t>ategory are likely to change (SDA Rule 7.23)</w:t>
      </w:r>
      <w:r w:rsidR="00EB42A9">
        <w:t>;</w:t>
      </w:r>
    </w:p>
    <w:p w:rsidR="001621EB" w:rsidRPr="001621EB" w:rsidRDefault="007571DE" w:rsidP="00F139A1">
      <w:pPr>
        <w:pStyle w:val="ListParagraph"/>
        <w:numPr>
          <w:ilvl w:val="0"/>
          <w:numId w:val="49"/>
        </w:numPr>
        <w:spacing w:after="120" w:line="259" w:lineRule="auto"/>
        <w:contextualSpacing w:val="0"/>
        <w:rPr>
          <w:rFonts w:cs="Arial"/>
          <w:szCs w:val="24"/>
        </w:rPr>
      </w:pPr>
      <w:r>
        <w:rPr>
          <w:rFonts w:cs="Arial"/>
          <w:szCs w:val="24"/>
        </w:rPr>
        <w:lastRenderedPageBreak/>
        <w:t xml:space="preserve">Dwellings must not exceed the </w:t>
      </w:r>
      <w:r w:rsidR="00A67489">
        <w:rPr>
          <w:rFonts w:cs="Arial"/>
          <w:szCs w:val="24"/>
        </w:rPr>
        <w:t>maximum number of residents</w:t>
      </w:r>
      <w:r w:rsidR="00205405">
        <w:rPr>
          <w:rFonts w:cs="Arial"/>
          <w:szCs w:val="24"/>
        </w:rPr>
        <w:t xml:space="preserve"> declared by the provider</w:t>
      </w:r>
      <w:r w:rsidR="001621EB" w:rsidRPr="001621EB">
        <w:rPr>
          <w:rFonts w:cs="Arial"/>
          <w:szCs w:val="24"/>
        </w:rPr>
        <w:t xml:space="preserve">. </w:t>
      </w:r>
      <w:r w:rsidR="00A67489">
        <w:rPr>
          <w:rFonts w:cs="Arial"/>
          <w:szCs w:val="24"/>
        </w:rPr>
        <w:t xml:space="preserve"> </w:t>
      </w:r>
      <w:r w:rsidR="001621EB" w:rsidRPr="001621EB">
        <w:rPr>
          <w:rFonts w:cs="Arial"/>
          <w:szCs w:val="24"/>
        </w:rPr>
        <w:t>For example, providers must have no more residents than the number for which the dwelling is enrolled</w:t>
      </w:r>
      <w:r w:rsidR="00A67489">
        <w:rPr>
          <w:rFonts w:cs="Arial"/>
          <w:szCs w:val="24"/>
        </w:rPr>
        <w:t xml:space="preserve">.  For </w:t>
      </w:r>
      <w:r w:rsidR="00A67489" w:rsidRPr="001621EB">
        <w:rPr>
          <w:rFonts w:cs="Arial"/>
          <w:szCs w:val="24"/>
        </w:rPr>
        <w:t xml:space="preserve">New Builds and Existing Stock </w:t>
      </w:r>
      <w:r w:rsidR="00A67489">
        <w:rPr>
          <w:rFonts w:cs="Arial"/>
          <w:szCs w:val="24"/>
        </w:rPr>
        <w:t>the maximum number of residents is five</w:t>
      </w:r>
      <w:r>
        <w:rPr>
          <w:rFonts w:cs="Arial"/>
          <w:szCs w:val="24"/>
        </w:rPr>
        <w:t>. New Builds must also comply with the density restrictions set out in the SDA Rules</w:t>
      </w:r>
      <w:r w:rsidR="001621EB" w:rsidRPr="001621EB">
        <w:rPr>
          <w:rFonts w:cs="Arial"/>
          <w:szCs w:val="24"/>
        </w:rPr>
        <w:t>;</w:t>
      </w:r>
    </w:p>
    <w:p w:rsidR="001621EB" w:rsidRPr="001621EB" w:rsidRDefault="00153A9B" w:rsidP="00F139A1">
      <w:pPr>
        <w:pStyle w:val="ListParagraph"/>
        <w:numPr>
          <w:ilvl w:val="0"/>
          <w:numId w:val="49"/>
        </w:numPr>
        <w:spacing w:after="120" w:line="259" w:lineRule="auto"/>
        <w:contextualSpacing w:val="0"/>
        <w:rPr>
          <w:rFonts w:cs="Arial"/>
          <w:szCs w:val="24"/>
        </w:rPr>
      </w:pPr>
      <w:r>
        <w:rPr>
          <w:rFonts w:cs="Arial"/>
          <w:szCs w:val="24"/>
        </w:rPr>
        <w:t>Registered providers must p</w:t>
      </w:r>
      <w:r w:rsidR="001621EB" w:rsidRPr="001621EB">
        <w:rPr>
          <w:rFonts w:cs="Arial"/>
          <w:szCs w:val="24"/>
        </w:rPr>
        <w:t xml:space="preserve">rovide </w:t>
      </w:r>
      <w:r>
        <w:rPr>
          <w:rFonts w:cs="Arial"/>
          <w:szCs w:val="24"/>
        </w:rPr>
        <w:t>all</w:t>
      </w:r>
      <w:r w:rsidRPr="001621EB">
        <w:rPr>
          <w:rFonts w:cs="Arial"/>
          <w:szCs w:val="24"/>
        </w:rPr>
        <w:t xml:space="preserve"> </w:t>
      </w:r>
      <w:r w:rsidR="001621EB" w:rsidRPr="001621EB">
        <w:rPr>
          <w:rFonts w:cs="Arial"/>
          <w:szCs w:val="24"/>
        </w:rPr>
        <w:t xml:space="preserve">required notifications and attestations. Registered providers must keep the Agency up to date including in relation to vacancies. </w:t>
      </w:r>
    </w:p>
    <w:bookmarkEnd w:id="6"/>
    <w:p w:rsidR="00CD47AC" w:rsidRDefault="00CD47AC" w:rsidP="00B74B5B">
      <w:pPr>
        <w:pStyle w:val="Heading3"/>
      </w:pPr>
      <w:r>
        <w:t xml:space="preserve">Claiming payment for SDA Vacancy </w:t>
      </w:r>
    </w:p>
    <w:p w:rsidR="00CD47AC" w:rsidRDefault="00CD47AC" w:rsidP="00EC298B">
      <w:pPr>
        <w:pStyle w:val="NDISSubsection"/>
        <w:numPr>
          <w:ilvl w:val="0"/>
          <w:numId w:val="0"/>
        </w:numPr>
      </w:pPr>
      <w:bookmarkStart w:id="8" w:name="_Ref457896129"/>
      <w:bookmarkStart w:id="9" w:name="_Ref451767124"/>
      <w:r>
        <w:t xml:space="preserve">There are limited circumstances in which </w:t>
      </w:r>
      <w:r w:rsidR="00362F42">
        <w:t xml:space="preserve">SDA </w:t>
      </w:r>
      <w:r>
        <w:t>payments may continue for a period of time after a participant no longer physic</w:t>
      </w:r>
      <w:r w:rsidR="004C034F">
        <w:t xml:space="preserve">ally resides at an </w:t>
      </w:r>
      <w:r w:rsidR="00362F42">
        <w:t xml:space="preserve">enrolled </w:t>
      </w:r>
      <w:r w:rsidR="004C034F">
        <w:t>SDA dwelling</w:t>
      </w:r>
      <w:r>
        <w:t xml:space="preserve">. </w:t>
      </w:r>
    </w:p>
    <w:p w:rsidR="00CD47AC" w:rsidRDefault="00CD47AC" w:rsidP="00EC298B">
      <w:pPr>
        <w:pStyle w:val="NDISSubsection"/>
        <w:numPr>
          <w:ilvl w:val="0"/>
          <w:numId w:val="0"/>
        </w:numPr>
        <w:spacing w:before="120"/>
      </w:pPr>
      <w:r>
        <w:t>In order for payments to continue</w:t>
      </w:r>
      <w:r w:rsidR="004C034F">
        <w:t xml:space="preserve"> after the participant has departed</w:t>
      </w:r>
      <w:r>
        <w:t xml:space="preserve"> the </w:t>
      </w:r>
      <w:r w:rsidR="004C034F">
        <w:t xml:space="preserve">following </w:t>
      </w:r>
      <w:r>
        <w:t>conditions must be met:</w:t>
      </w:r>
    </w:p>
    <w:p w:rsidR="00CD47AC" w:rsidRDefault="004C034F" w:rsidP="00CD47AC">
      <w:pPr>
        <w:pStyle w:val="NDISParagraph"/>
        <w:tabs>
          <w:tab w:val="clear" w:pos="1134"/>
          <w:tab w:val="num" w:pos="1559"/>
        </w:tabs>
      </w:pPr>
      <w:r>
        <w:t xml:space="preserve">the </w:t>
      </w:r>
      <w:r w:rsidR="00CD47AC">
        <w:t>SDA dwelling for the participant is enrolled to house two to five residents;</w:t>
      </w:r>
    </w:p>
    <w:p w:rsidR="00CD47AC" w:rsidRDefault="004C034F" w:rsidP="00CD47AC">
      <w:pPr>
        <w:pStyle w:val="NDISParagraph"/>
        <w:tabs>
          <w:tab w:val="clear" w:pos="1134"/>
          <w:tab w:val="num" w:pos="1559"/>
        </w:tabs>
      </w:pPr>
      <w:r>
        <w:t xml:space="preserve">the </w:t>
      </w:r>
      <w:r w:rsidR="00CD47AC">
        <w:t>vacancy is available for another participant</w:t>
      </w:r>
      <w:r w:rsidR="009D1CB1">
        <w:t>; and</w:t>
      </w:r>
    </w:p>
    <w:p w:rsidR="00CD47AC" w:rsidRDefault="004C034F" w:rsidP="00CD47AC">
      <w:pPr>
        <w:pStyle w:val="NDISParagraph"/>
        <w:tabs>
          <w:tab w:val="clear" w:pos="1134"/>
          <w:tab w:val="num" w:pos="1559"/>
        </w:tabs>
      </w:pPr>
      <w:r>
        <w:t xml:space="preserve">the </w:t>
      </w:r>
      <w:r w:rsidR="00CD47AC">
        <w:t>NDIA has been notified.</w:t>
      </w:r>
    </w:p>
    <w:p w:rsidR="004C034F" w:rsidRDefault="004C034F" w:rsidP="00EC298B">
      <w:pPr>
        <w:pStyle w:val="NDISSubsection"/>
        <w:numPr>
          <w:ilvl w:val="0"/>
          <w:numId w:val="0"/>
        </w:numPr>
        <w:spacing w:before="120"/>
        <w:ind w:left="567" w:hanging="567"/>
      </w:pPr>
      <w:bookmarkStart w:id="10" w:name="_Ref457997065"/>
      <w:r>
        <w:t>P</w:t>
      </w:r>
      <w:r w:rsidR="00CD47AC">
        <w:t xml:space="preserve">ayments </w:t>
      </w:r>
      <w:r>
        <w:t xml:space="preserve">are able to continue until the vacancy is filled, or </w:t>
      </w:r>
      <w:bookmarkEnd w:id="10"/>
    </w:p>
    <w:p w:rsidR="004C034F" w:rsidRDefault="00CD47AC" w:rsidP="00EC298B">
      <w:pPr>
        <w:pStyle w:val="NDISParagraph"/>
        <w:tabs>
          <w:tab w:val="clear" w:pos="1134"/>
          <w:tab w:val="num" w:pos="1559"/>
        </w:tabs>
      </w:pPr>
      <w:r>
        <w:t>for a dwelling that is enrolled to house four or five residents— for 90 days</w:t>
      </w:r>
      <w:r w:rsidR="009D1CB1">
        <w:t>; or</w:t>
      </w:r>
    </w:p>
    <w:p w:rsidR="00CD47AC" w:rsidRDefault="00CD47AC" w:rsidP="00EC298B">
      <w:pPr>
        <w:pStyle w:val="NDISParagraph"/>
        <w:tabs>
          <w:tab w:val="clear" w:pos="1134"/>
          <w:tab w:val="num" w:pos="1559"/>
        </w:tabs>
      </w:pPr>
      <w:r>
        <w:t>for a dwelling that is enrolled to house two or three residents—for 60 days</w:t>
      </w:r>
      <w:r w:rsidR="004C034F">
        <w:t>,</w:t>
      </w:r>
    </w:p>
    <w:p w:rsidR="004C034F" w:rsidRDefault="004C034F" w:rsidP="00EC298B">
      <w:pPr>
        <w:pStyle w:val="NDISParagraph"/>
        <w:numPr>
          <w:ilvl w:val="0"/>
          <w:numId w:val="0"/>
        </w:numPr>
      </w:pPr>
      <w:r>
        <w:t xml:space="preserve">whichever is earlier. </w:t>
      </w:r>
    </w:p>
    <w:bookmarkEnd w:id="8"/>
    <w:bookmarkEnd w:id="9"/>
    <w:p w:rsidR="00CD47AC" w:rsidRPr="00EC298B" w:rsidRDefault="00CD47AC" w:rsidP="00EC298B"/>
    <w:p w:rsidR="00ED0573" w:rsidRDefault="00ED0573">
      <w:pPr>
        <w:spacing w:before="0" w:after="200"/>
        <w:rPr>
          <w:rFonts w:eastAsiaTheme="majorEastAsia" w:cstheme="majorBidi"/>
          <w:b/>
          <w:bCs/>
          <w:color w:val="652F76"/>
          <w:sz w:val="44"/>
          <w:szCs w:val="28"/>
        </w:rPr>
      </w:pPr>
      <w:r>
        <w:br w:type="page"/>
      </w:r>
    </w:p>
    <w:p w:rsidR="00A607CD" w:rsidRDefault="002B1C7D" w:rsidP="00FD098E">
      <w:pPr>
        <w:pStyle w:val="Heading1"/>
      </w:pPr>
      <w:bookmarkStart w:id="11" w:name="_Toc477352077"/>
      <w:r>
        <w:t xml:space="preserve">Calculation of the </w:t>
      </w:r>
      <w:r w:rsidR="00EF1F86">
        <w:t>SDA price</w:t>
      </w:r>
      <w:r>
        <w:t xml:space="preserve"> for a dwelling</w:t>
      </w:r>
      <w:bookmarkEnd w:id="11"/>
    </w:p>
    <w:p w:rsidR="00AF77A5" w:rsidRDefault="00AF77A5" w:rsidP="00AF77A5">
      <w:r>
        <w:t xml:space="preserve">The SDA price for New Builds and Existing Stock is set out in this Price </w:t>
      </w:r>
      <w:r w:rsidR="00153A9B">
        <w:t>G</w:t>
      </w:r>
      <w:r>
        <w:t xml:space="preserve">uide.  The SDA price for Legacy Stock is set out in a separate document, being the </w:t>
      </w:r>
      <w:r w:rsidR="009D1CB1">
        <w:t>NDIS’s Legacy Stock Price List.</w:t>
      </w:r>
      <w:r>
        <w:t xml:space="preserve"> </w:t>
      </w:r>
      <w:r w:rsidR="009D1CB1">
        <w:t xml:space="preserve">Please contact </w:t>
      </w:r>
      <w:hyperlink r:id="rId11" w:history="1">
        <w:r w:rsidR="009D1CB1" w:rsidRPr="00562466">
          <w:rPr>
            <w:rStyle w:val="Hyperlink"/>
          </w:rPr>
          <w:t>SDAhousing@ndis.gov.au</w:t>
        </w:r>
      </w:hyperlink>
      <w:r w:rsidR="009D1CB1">
        <w:t xml:space="preserve"> for a copy of the Legacy Stock Price List. </w:t>
      </w:r>
    </w:p>
    <w:p w:rsidR="00AF77A5" w:rsidRDefault="00AF77A5" w:rsidP="00AF77A5">
      <w:r>
        <w:t xml:space="preserve">To calculate the SDA price for a dwelling, the Base Price (the annual Base Price per participant) is multiplied by the relevant Location Factor and where applicable a Fire Sprinkler Allowance is added. </w:t>
      </w:r>
      <w:r w:rsidR="007A649F">
        <w:t xml:space="preserve"> </w:t>
      </w:r>
      <w:r>
        <w:t>This calculation is shown in the formula below:</w:t>
      </w:r>
    </w:p>
    <w:tbl>
      <w:tblPr>
        <w:tblStyle w:val="TableGrid"/>
        <w:tblW w:w="0" w:type="auto"/>
        <w:tblLook w:val="04A0" w:firstRow="1" w:lastRow="0" w:firstColumn="1" w:lastColumn="0" w:noHBand="0" w:noVBand="1"/>
        <w:tblCaption w:val="SDA price equals"/>
        <w:tblDescription w:val="Base Price &#10;x Location Factor &#10;x (1 + Fire Sprinkler Allowance) (if applicable) &#10;"/>
      </w:tblPr>
      <w:tblGrid>
        <w:gridCol w:w="8642"/>
      </w:tblGrid>
      <w:tr w:rsidR="00AE3932" w:rsidTr="006F1520">
        <w:trPr>
          <w:tblHeader/>
        </w:trPr>
        <w:tc>
          <w:tcPr>
            <w:tcW w:w="8642" w:type="dxa"/>
          </w:tcPr>
          <w:p w:rsidR="00AE3932" w:rsidRPr="004C01F6" w:rsidRDefault="00AE3932" w:rsidP="00AE3932">
            <w:pPr>
              <w:keepNext/>
              <w:keepLines/>
              <w:tabs>
                <w:tab w:val="left" w:pos="2552"/>
              </w:tabs>
              <w:rPr>
                <w:i/>
              </w:rPr>
            </w:pPr>
            <w:r w:rsidRPr="004C01F6">
              <w:rPr>
                <w:i/>
              </w:rPr>
              <w:t>SD</w:t>
            </w:r>
            <w:r>
              <w:rPr>
                <w:i/>
              </w:rPr>
              <w:t xml:space="preserve">A price = </w:t>
            </w:r>
            <w:r>
              <w:rPr>
                <w:i/>
              </w:rPr>
              <w:tab/>
              <w:t xml:space="preserve">Base Price </w:t>
            </w:r>
          </w:p>
          <w:p w:rsidR="00AE3932" w:rsidRPr="00DA1F62" w:rsidRDefault="00AE3932" w:rsidP="00AE3932">
            <w:pPr>
              <w:keepNext/>
              <w:keepLines/>
              <w:tabs>
                <w:tab w:val="left" w:pos="2552"/>
              </w:tabs>
              <w:ind w:left="1440" w:firstLine="720"/>
              <w:rPr>
                <w:i/>
              </w:rPr>
            </w:pPr>
            <w:r w:rsidRPr="00DA1F62">
              <w:rPr>
                <w:i/>
              </w:rPr>
              <w:tab/>
              <w:t xml:space="preserve">x Location Factor </w:t>
            </w:r>
          </w:p>
          <w:p w:rsidR="00AE3932" w:rsidRPr="00F139A1" w:rsidRDefault="00AE3932" w:rsidP="00F139A1">
            <w:pPr>
              <w:keepNext/>
              <w:keepLines/>
              <w:tabs>
                <w:tab w:val="left" w:pos="2552"/>
              </w:tabs>
              <w:ind w:left="2160"/>
              <w:rPr>
                <w:i/>
              </w:rPr>
            </w:pPr>
            <w:r w:rsidRPr="00294EE7">
              <w:rPr>
                <w:i/>
              </w:rPr>
              <w:tab/>
              <w:t>x (1 + Fire</w:t>
            </w:r>
            <w:r w:rsidRPr="005B1B19">
              <w:rPr>
                <w:i/>
              </w:rPr>
              <w:t xml:space="preserve"> </w:t>
            </w:r>
            <w:r>
              <w:rPr>
                <w:i/>
              </w:rPr>
              <w:t>S</w:t>
            </w:r>
            <w:r w:rsidRPr="005B1B19">
              <w:rPr>
                <w:i/>
              </w:rPr>
              <w:t xml:space="preserve">prinkler </w:t>
            </w:r>
            <w:r>
              <w:rPr>
                <w:i/>
              </w:rPr>
              <w:t>A</w:t>
            </w:r>
            <w:r w:rsidRPr="005B1B19">
              <w:rPr>
                <w:i/>
              </w:rPr>
              <w:t xml:space="preserve">llowance) (if applicable) </w:t>
            </w:r>
          </w:p>
        </w:tc>
      </w:tr>
    </w:tbl>
    <w:p w:rsidR="00AF77A5" w:rsidRDefault="00AF77A5" w:rsidP="00AF77A5">
      <w:r>
        <w:t xml:space="preserve">The SDA price is expressed as an annual amount. </w:t>
      </w:r>
    </w:p>
    <w:p w:rsidR="002B631F" w:rsidRDefault="002B631F" w:rsidP="00AF77A5"/>
    <w:p w:rsidR="002B1C7D" w:rsidRPr="00EC6526" w:rsidRDefault="00EC6526" w:rsidP="00EC298B">
      <w:pPr>
        <w:pStyle w:val="Heading4"/>
      </w:pPr>
      <w:r w:rsidRPr="00EC6526">
        <w:t>Steps to calculate the SDA Price</w:t>
      </w:r>
    </w:p>
    <w:p w:rsidR="00A607CD" w:rsidRDefault="00AF77A5" w:rsidP="00AA691B">
      <w:pPr>
        <w:keepNext/>
        <w:keepLines/>
      </w:pPr>
      <w:r>
        <w:t xml:space="preserve">The calculation of the SDA price can be divided into a number of </w:t>
      </w:r>
      <w:r w:rsidR="004F6F7A">
        <w:t>steps</w:t>
      </w:r>
      <w:r>
        <w:t>:</w:t>
      </w:r>
    </w:p>
    <w:p w:rsidR="004F6F7A" w:rsidRPr="00AA691B" w:rsidRDefault="00A560E2" w:rsidP="00AA691B">
      <w:pPr>
        <w:keepNext/>
        <w:keepLines/>
        <w:rPr>
          <w:i/>
        </w:rPr>
      </w:pPr>
      <w:r w:rsidRPr="00A560E2">
        <w:rPr>
          <w:i/>
        </w:rPr>
        <w:t>Step 1</w:t>
      </w:r>
      <w:r w:rsidR="004F6F7A" w:rsidRPr="00AA691B">
        <w:rPr>
          <w:i/>
        </w:rPr>
        <w:t xml:space="preserve">: Determine </w:t>
      </w:r>
      <w:r w:rsidR="004F6F7A">
        <w:rPr>
          <w:i/>
        </w:rPr>
        <w:t xml:space="preserve">whether the </w:t>
      </w:r>
      <w:r w:rsidR="00783ABD">
        <w:rPr>
          <w:i/>
        </w:rPr>
        <w:t xml:space="preserve">dwelling is </w:t>
      </w:r>
      <w:r w:rsidR="00703FED">
        <w:rPr>
          <w:i/>
        </w:rPr>
        <w:t xml:space="preserve">a </w:t>
      </w:r>
      <w:r w:rsidR="00783ABD">
        <w:rPr>
          <w:i/>
        </w:rPr>
        <w:t xml:space="preserve">New Build, </w:t>
      </w:r>
      <w:r w:rsidR="004F6F7A">
        <w:rPr>
          <w:i/>
        </w:rPr>
        <w:t>Existing Stock</w:t>
      </w:r>
      <w:r w:rsidR="00783ABD">
        <w:rPr>
          <w:i/>
        </w:rPr>
        <w:t xml:space="preserve"> or Legacy Stock</w:t>
      </w:r>
    </w:p>
    <w:p w:rsidR="004F6F7A" w:rsidRDefault="00A560E2" w:rsidP="00AA691B">
      <w:pPr>
        <w:keepNext/>
        <w:keepLines/>
        <w:rPr>
          <w:i/>
        </w:rPr>
      </w:pPr>
      <w:r w:rsidRPr="00A560E2">
        <w:rPr>
          <w:i/>
        </w:rPr>
        <w:t>Step 2</w:t>
      </w:r>
      <w:r w:rsidR="004F6F7A" w:rsidRPr="00AA691B">
        <w:rPr>
          <w:i/>
        </w:rPr>
        <w:t>: Identify the Base Price</w:t>
      </w:r>
      <w:r w:rsidR="00AF77A5">
        <w:rPr>
          <w:i/>
        </w:rPr>
        <w:t>:</w:t>
      </w:r>
    </w:p>
    <w:p w:rsidR="00AF77A5" w:rsidRDefault="00AF77A5" w:rsidP="00AF77A5">
      <w:pPr>
        <w:pStyle w:val="ListParagraph"/>
        <w:numPr>
          <w:ilvl w:val="0"/>
          <w:numId w:val="7"/>
        </w:numPr>
        <w:rPr>
          <w:rFonts w:eastAsia="Times New Roman" w:cs="Arial"/>
          <w:szCs w:val="18"/>
          <w:lang w:val="en"/>
        </w:rPr>
      </w:pPr>
      <w:r>
        <w:rPr>
          <w:rFonts w:eastAsia="Times New Roman" w:cs="Arial"/>
          <w:szCs w:val="18"/>
          <w:lang w:val="en"/>
        </w:rPr>
        <w:t xml:space="preserve">Step 2A - identify the </w:t>
      </w:r>
      <w:r w:rsidR="00AE3932">
        <w:rPr>
          <w:rFonts w:eastAsia="Times New Roman" w:cs="Arial"/>
          <w:szCs w:val="18"/>
          <w:lang w:val="en"/>
        </w:rPr>
        <w:t>B</w:t>
      </w:r>
      <w:r>
        <w:rPr>
          <w:rFonts w:eastAsia="Times New Roman" w:cs="Arial"/>
          <w:szCs w:val="18"/>
          <w:lang w:val="en"/>
        </w:rPr>
        <w:t xml:space="preserve">uilding </w:t>
      </w:r>
      <w:r w:rsidR="00AE3932">
        <w:rPr>
          <w:rFonts w:eastAsia="Times New Roman" w:cs="Arial"/>
          <w:szCs w:val="18"/>
          <w:lang w:val="en"/>
        </w:rPr>
        <w:t>T</w:t>
      </w:r>
      <w:r>
        <w:rPr>
          <w:rFonts w:eastAsia="Times New Roman" w:cs="Arial"/>
          <w:szCs w:val="18"/>
          <w:lang w:val="en"/>
        </w:rPr>
        <w:t>ype</w:t>
      </w:r>
    </w:p>
    <w:p w:rsidR="00AF77A5" w:rsidRDefault="00AF77A5" w:rsidP="00AF77A5">
      <w:pPr>
        <w:pStyle w:val="ListParagraph"/>
        <w:numPr>
          <w:ilvl w:val="0"/>
          <w:numId w:val="7"/>
        </w:numPr>
        <w:rPr>
          <w:rFonts w:eastAsia="Times New Roman" w:cs="Arial"/>
          <w:szCs w:val="18"/>
          <w:lang w:val="en"/>
        </w:rPr>
      </w:pPr>
      <w:r>
        <w:rPr>
          <w:rFonts w:eastAsia="Times New Roman" w:cs="Arial"/>
          <w:szCs w:val="18"/>
          <w:lang w:val="en"/>
        </w:rPr>
        <w:t xml:space="preserve">Step 2B - identify the </w:t>
      </w:r>
      <w:r w:rsidR="00AE3932">
        <w:rPr>
          <w:rFonts w:eastAsia="Times New Roman" w:cs="Arial"/>
          <w:szCs w:val="18"/>
          <w:lang w:val="en"/>
        </w:rPr>
        <w:t>D</w:t>
      </w:r>
      <w:r>
        <w:rPr>
          <w:rFonts w:eastAsia="Times New Roman" w:cs="Arial"/>
          <w:szCs w:val="18"/>
          <w:lang w:val="en"/>
        </w:rPr>
        <w:t xml:space="preserve">esign </w:t>
      </w:r>
      <w:r w:rsidR="00AE3932">
        <w:rPr>
          <w:rFonts w:eastAsia="Times New Roman" w:cs="Arial"/>
          <w:szCs w:val="18"/>
          <w:lang w:val="en"/>
        </w:rPr>
        <w:t>C</w:t>
      </w:r>
      <w:r>
        <w:rPr>
          <w:rFonts w:eastAsia="Times New Roman" w:cs="Arial"/>
          <w:szCs w:val="18"/>
          <w:lang w:val="en"/>
        </w:rPr>
        <w:t>ategory</w:t>
      </w:r>
    </w:p>
    <w:p w:rsidR="00AF77A5" w:rsidRDefault="00AF77A5" w:rsidP="00AF77A5">
      <w:pPr>
        <w:pStyle w:val="ListParagraph"/>
        <w:numPr>
          <w:ilvl w:val="0"/>
          <w:numId w:val="7"/>
        </w:numPr>
        <w:rPr>
          <w:rFonts w:eastAsia="Times New Roman" w:cs="Arial"/>
          <w:szCs w:val="18"/>
          <w:lang w:val="en"/>
        </w:rPr>
      </w:pPr>
      <w:r>
        <w:rPr>
          <w:rFonts w:eastAsia="Times New Roman" w:cs="Arial"/>
          <w:szCs w:val="18"/>
          <w:lang w:val="en"/>
        </w:rPr>
        <w:t xml:space="preserve">Step 2C - identify </w:t>
      </w:r>
      <w:r w:rsidR="006801AD">
        <w:rPr>
          <w:rFonts w:eastAsia="Times New Roman" w:cs="Arial"/>
          <w:szCs w:val="18"/>
          <w:lang w:val="en"/>
        </w:rPr>
        <w:t xml:space="preserve">if there is a room for </w:t>
      </w:r>
      <w:r>
        <w:rPr>
          <w:rFonts w:eastAsia="Times New Roman" w:cs="Arial"/>
          <w:szCs w:val="18"/>
          <w:lang w:val="en"/>
        </w:rPr>
        <w:t>On-Site Overnight Assistance</w:t>
      </w:r>
      <w:r w:rsidR="006801AD">
        <w:rPr>
          <w:rFonts w:eastAsia="Times New Roman" w:cs="Arial"/>
          <w:szCs w:val="18"/>
          <w:lang w:val="en"/>
        </w:rPr>
        <w:t xml:space="preserve"> (OOA)</w:t>
      </w:r>
    </w:p>
    <w:p w:rsidR="00AF77A5" w:rsidRDefault="00AF77A5" w:rsidP="00AF77A5">
      <w:pPr>
        <w:pStyle w:val="ListParagraph"/>
        <w:numPr>
          <w:ilvl w:val="0"/>
          <w:numId w:val="7"/>
        </w:numPr>
        <w:rPr>
          <w:rFonts w:eastAsia="Times New Roman" w:cs="Arial"/>
          <w:szCs w:val="18"/>
          <w:lang w:val="en"/>
        </w:rPr>
      </w:pPr>
      <w:r>
        <w:rPr>
          <w:rFonts w:eastAsia="Times New Roman" w:cs="Arial"/>
          <w:szCs w:val="18"/>
          <w:lang w:val="en"/>
        </w:rPr>
        <w:t xml:space="preserve">Step 2D </w:t>
      </w:r>
      <w:r w:rsidR="006801AD">
        <w:rPr>
          <w:rFonts w:eastAsia="Times New Roman" w:cs="Arial"/>
          <w:szCs w:val="18"/>
          <w:lang w:val="en"/>
        </w:rPr>
        <w:t>–</w:t>
      </w:r>
      <w:r>
        <w:rPr>
          <w:rFonts w:eastAsia="Times New Roman" w:cs="Arial"/>
          <w:szCs w:val="18"/>
          <w:lang w:val="en"/>
        </w:rPr>
        <w:t xml:space="preserve"> Identify</w:t>
      </w:r>
      <w:r w:rsidR="006801AD">
        <w:rPr>
          <w:rFonts w:eastAsia="Times New Roman" w:cs="Arial"/>
          <w:szCs w:val="18"/>
          <w:lang w:val="en"/>
        </w:rPr>
        <w:t xml:space="preserve"> if there is </w:t>
      </w:r>
      <w:r>
        <w:rPr>
          <w:rFonts w:eastAsia="Times New Roman" w:cs="Arial"/>
          <w:szCs w:val="18"/>
          <w:lang w:val="en"/>
        </w:rPr>
        <w:t>an additional breakout room (Robust design dwellings only)</w:t>
      </w:r>
    </w:p>
    <w:p w:rsidR="004F6F7A" w:rsidRPr="00AA691B" w:rsidRDefault="00A560E2" w:rsidP="00AA691B">
      <w:pPr>
        <w:keepNext/>
        <w:keepLines/>
        <w:rPr>
          <w:i/>
        </w:rPr>
      </w:pPr>
      <w:r w:rsidRPr="00A560E2">
        <w:rPr>
          <w:i/>
        </w:rPr>
        <w:t>Step 3</w:t>
      </w:r>
      <w:r w:rsidR="004F6F7A" w:rsidRPr="00AA691B">
        <w:rPr>
          <w:i/>
        </w:rPr>
        <w:t>: Identify the Location Factor</w:t>
      </w:r>
      <w:r w:rsidR="002B1C7D">
        <w:rPr>
          <w:i/>
        </w:rPr>
        <w:t xml:space="preserve">; and </w:t>
      </w:r>
    </w:p>
    <w:p w:rsidR="00783ABD" w:rsidRPr="00AF77A5" w:rsidRDefault="004F6F7A" w:rsidP="00AF77A5">
      <w:pPr>
        <w:rPr>
          <w:i/>
        </w:rPr>
      </w:pPr>
      <w:r w:rsidRPr="00AA691B">
        <w:rPr>
          <w:i/>
        </w:rPr>
        <w:t>S</w:t>
      </w:r>
      <w:r w:rsidR="00A560E2" w:rsidRPr="00A560E2">
        <w:rPr>
          <w:i/>
        </w:rPr>
        <w:t>tep 4</w:t>
      </w:r>
      <w:r w:rsidRPr="00AA691B">
        <w:rPr>
          <w:i/>
        </w:rPr>
        <w:t xml:space="preserve">: </w:t>
      </w:r>
      <w:r w:rsidR="006801AD">
        <w:rPr>
          <w:i/>
        </w:rPr>
        <w:t xml:space="preserve">Add the </w:t>
      </w:r>
      <w:r w:rsidRPr="00AA691B">
        <w:rPr>
          <w:i/>
        </w:rPr>
        <w:t>Fire Sprinkler allowance (if applicable)</w:t>
      </w:r>
      <w:r w:rsidR="00AF77A5">
        <w:rPr>
          <w:i/>
        </w:rPr>
        <w:t>.</w:t>
      </w:r>
      <w:r w:rsidR="00783ABD">
        <w:br w:type="page"/>
      </w:r>
    </w:p>
    <w:p w:rsidR="00E32888" w:rsidRDefault="00790DB8" w:rsidP="00101F88">
      <w:pPr>
        <w:pStyle w:val="Heading2"/>
      </w:pPr>
      <w:bookmarkStart w:id="12" w:name="_Toc477352078"/>
      <w:r w:rsidRPr="00790DB8">
        <w:t xml:space="preserve">Step </w:t>
      </w:r>
      <w:r w:rsidR="00A560E2">
        <w:t>1</w:t>
      </w:r>
      <w:r w:rsidRPr="00790DB8">
        <w:t>:</w:t>
      </w:r>
      <w:r w:rsidR="005472D7">
        <w:t xml:space="preserve"> </w:t>
      </w:r>
      <w:r w:rsidR="000033ED">
        <w:t>Determine whether the dwelling is a</w:t>
      </w:r>
      <w:r w:rsidR="00783ABD">
        <w:t xml:space="preserve"> </w:t>
      </w:r>
      <w:r w:rsidR="007C1FE2">
        <w:t>New Build</w:t>
      </w:r>
      <w:r w:rsidR="000033ED">
        <w:t xml:space="preserve">, Existing Stock </w:t>
      </w:r>
      <w:r w:rsidR="00783ABD">
        <w:t>or Legacy Stock</w:t>
      </w:r>
      <w:bookmarkEnd w:id="12"/>
    </w:p>
    <w:p w:rsidR="000033ED" w:rsidRPr="00AE3932" w:rsidRDefault="00AE3932" w:rsidP="000033ED">
      <w:pPr>
        <w:rPr>
          <w:szCs w:val="24"/>
        </w:rPr>
      </w:pPr>
      <w:r>
        <w:t xml:space="preserve">Different SDA prices are paid depending on whether the dwelling used to provide SDA is classified as a </w:t>
      </w:r>
      <w:r w:rsidR="000033ED">
        <w:t xml:space="preserve">New Build, Existing Stock and Legacy Stock.  </w:t>
      </w:r>
      <w:r>
        <w:t>The SDA pr</w:t>
      </w:r>
      <w:r w:rsidR="0089642D">
        <w:t>ice</w:t>
      </w:r>
      <w:r>
        <w:t xml:space="preserve">s for New Builds and Existing Stock are set out in this Price Guide and the SDA </w:t>
      </w:r>
      <w:r w:rsidRPr="00AE3932">
        <w:rPr>
          <w:szCs w:val="24"/>
        </w:rPr>
        <w:t>price</w:t>
      </w:r>
      <w:r w:rsidR="0089642D">
        <w:rPr>
          <w:szCs w:val="24"/>
        </w:rPr>
        <w:t>s</w:t>
      </w:r>
      <w:r w:rsidRPr="00AE3932">
        <w:rPr>
          <w:szCs w:val="24"/>
        </w:rPr>
        <w:t xml:space="preserve"> for legacy stock </w:t>
      </w:r>
      <w:r w:rsidR="00153A9B">
        <w:rPr>
          <w:szCs w:val="24"/>
        </w:rPr>
        <w:t>are</w:t>
      </w:r>
      <w:r w:rsidR="00153A9B" w:rsidRPr="00AE3932">
        <w:rPr>
          <w:szCs w:val="24"/>
        </w:rPr>
        <w:t xml:space="preserve"> </w:t>
      </w:r>
      <w:r w:rsidRPr="00AE3932">
        <w:rPr>
          <w:szCs w:val="24"/>
        </w:rPr>
        <w:t xml:space="preserve">set out in </w:t>
      </w:r>
      <w:r w:rsidR="0089642D">
        <w:rPr>
          <w:szCs w:val="24"/>
        </w:rPr>
        <w:t>the NDIS</w:t>
      </w:r>
      <w:r w:rsidRPr="00AE3932">
        <w:rPr>
          <w:szCs w:val="24"/>
        </w:rPr>
        <w:t xml:space="preserve"> </w:t>
      </w:r>
      <w:r w:rsidR="0089642D">
        <w:rPr>
          <w:szCs w:val="24"/>
        </w:rPr>
        <w:t>L</w:t>
      </w:r>
      <w:r w:rsidRPr="00AE3932">
        <w:rPr>
          <w:szCs w:val="24"/>
        </w:rPr>
        <w:t xml:space="preserve">egacy </w:t>
      </w:r>
      <w:r w:rsidR="0089642D">
        <w:rPr>
          <w:szCs w:val="24"/>
        </w:rPr>
        <w:t>S</w:t>
      </w:r>
      <w:r w:rsidRPr="00AE3932">
        <w:rPr>
          <w:szCs w:val="24"/>
        </w:rPr>
        <w:t xml:space="preserve">tock </w:t>
      </w:r>
      <w:r w:rsidR="0089642D">
        <w:rPr>
          <w:szCs w:val="24"/>
        </w:rPr>
        <w:t>P</w:t>
      </w:r>
      <w:r w:rsidRPr="00AE3932">
        <w:rPr>
          <w:szCs w:val="24"/>
        </w:rPr>
        <w:t xml:space="preserve">rice </w:t>
      </w:r>
      <w:r w:rsidR="0089642D">
        <w:rPr>
          <w:szCs w:val="24"/>
        </w:rPr>
        <w:t>L</w:t>
      </w:r>
      <w:r w:rsidRPr="00AE3932">
        <w:rPr>
          <w:szCs w:val="24"/>
        </w:rPr>
        <w:t xml:space="preserve">ist.  </w:t>
      </w:r>
    </w:p>
    <w:p w:rsidR="00BB5BC6" w:rsidRDefault="00027FE7" w:rsidP="00E721B3">
      <w:pPr>
        <w:spacing w:after="120"/>
      </w:pPr>
      <w:r>
        <w:rPr>
          <w:szCs w:val="24"/>
        </w:rPr>
        <w:t xml:space="preserve">If a dwelling does not meet the requirements to be </w:t>
      </w:r>
      <w:r w:rsidR="00F91E83">
        <w:rPr>
          <w:szCs w:val="24"/>
        </w:rPr>
        <w:t xml:space="preserve">either </w:t>
      </w:r>
      <w:r>
        <w:rPr>
          <w:szCs w:val="24"/>
        </w:rPr>
        <w:t>a New Build</w:t>
      </w:r>
      <w:r w:rsidR="00F91E83">
        <w:rPr>
          <w:szCs w:val="24"/>
        </w:rPr>
        <w:t xml:space="preserve"> or Existing Stock or Legacy Stock</w:t>
      </w:r>
      <w:r w:rsidR="00153A9B">
        <w:rPr>
          <w:szCs w:val="24"/>
        </w:rPr>
        <w:t>,</w:t>
      </w:r>
      <w:r w:rsidR="009D1CB1">
        <w:rPr>
          <w:szCs w:val="24"/>
        </w:rPr>
        <w:t xml:space="preserve"> the dwelling cannot be enrolled or receive </w:t>
      </w:r>
      <w:r w:rsidR="00F91E83">
        <w:rPr>
          <w:szCs w:val="24"/>
        </w:rPr>
        <w:t xml:space="preserve">SDA payments. </w:t>
      </w:r>
      <w:r>
        <w:rPr>
          <w:szCs w:val="24"/>
        </w:rPr>
        <w:t xml:space="preserve"> </w:t>
      </w:r>
      <w:r w:rsidR="001D3FA8">
        <w:rPr>
          <w:szCs w:val="24"/>
        </w:rPr>
        <w:t xml:space="preserve">Providers must ensure that a dwelling is correctly enrolled.  </w:t>
      </w:r>
      <w:r w:rsidR="008F6EB1">
        <w:rPr>
          <w:szCs w:val="24"/>
        </w:rPr>
        <w:t>A</w:t>
      </w:r>
      <w:r w:rsidR="001D3FA8">
        <w:rPr>
          <w:szCs w:val="24"/>
        </w:rPr>
        <w:t>ll</w:t>
      </w:r>
      <w:r w:rsidR="00F91E83">
        <w:rPr>
          <w:szCs w:val="24"/>
        </w:rPr>
        <w:t xml:space="preserve"> dwelling</w:t>
      </w:r>
      <w:r w:rsidR="001D3FA8">
        <w:rPr>
          <w:szCs w:val="24"/>
        </w:rPr>
        <w:t>s</w:t>
      </w:r>
      <w:r w:rsidR="00F91E83">
        <w:rPr>
          <w:szCs w:val="24"/>
        </w:rPr>
        <w:t xml:space="preserve"> </w:t>
      </w:r>
      <w:r w:rsidR="001D3FA8">
        <w:rPr>
          <w:szCs w:val="24"/>
        </w:rPr>
        <w:t xml:space="preserve">that are enrolled </w:t>
      </w:r>
      <w:r w:rsidR="008F6EB1">
        <w:rPr>
          <w:szCs w:val="24"/>
        </w:rPr>
        <w:t xml:space="preserve">must </w:t>
      </w:r>
      <w:r w:rsidR="00F91E83">
        <w:rPr>
          <w:szCs w:val="24"/>
        </w:rPr>
        <w:t xml:space="preserve">meet the requirements </w:t>
      </w:r>
      <w:r w:rsidR="00BB5BC6">
        <w:rPr>
          <w:szCs w:val="24"/>
        </w:rPr>
        <w:t xml:space="preserve">of the SDA type for which </w:t>
      </w:r>
      <w:r w:rsidR="001D3FA8">
        <w:rPr>
          <w:szCs w:val="24"/>
        </w:rPr>
        <w:t xml:space="preserve">the dwelling </w:t>
      </w:r>
      <w:r w:rsidR="00BB5BC6">
        <w:rPr>
          <w:szCs w:val="24"/>
        </w:rPr>
        <w:t xml:space="preserve">is enrolled and </w:t>
      </w:r>
      <w:r w:rsidR="001D3FA8">
        <w:rPr>
          <w:szCs w:val="24"/>
        </w:rPr>
        <w:t xml:space="preserve">for which </w:t>
      </w:r>
      <w:r w:rsidR="00BB5BC6">
        <w:rPr>
          <w:szCs w:val="24"/>
        </w:rPr>
        <w:t xml:space="preserve">SDA is claimed.  </w:t>
      </w:r>
      <w:r w:rsidR="00BB5BC6">
        <w:t xml:space="preserve">For example, a New Build must meet the requirements for a New Build or the New Build SDA price claimed by the Provider cannot be paid.  </w:t>
      </w:r>
    </w:p>
    <w:p w:rsidR="000033ED" w:rsidRPr="00AE3932" w:rsidRDefault="00D07041" w:rsidP="00AA691B">
      <w:pPr>
        <w:spacing w:after="120"/>
        <w:rPr>
          <w:szCs w:val="24"/>
        </w:rPr>
      </w:pPr>
      <w:r w:rsidRPr="00D07041">
        <w:rPr>
          <w:b/>
          <w:szCs w:val="24"/>
        </w:rPr>
        <w:t>Table 1</w:t>
      </w:r>
      <w:r>
        <w:rPr>
          <w:szCs w:val="24"/>
        </w:rPr>
        <w:t xml:space="preserve"> </w:t>
      </w:r>
      <w:r w:rsidR="00AE3932" w:rsidRPr="00AE3932">
        <w:rPr>
          <w:szCs w:val="24"/>
        </w:rPr>
        <w:t xml:space="preserve">sets out the definitions </w:t>
      </w:r>
      <w:r>
        <w:rPr>
          <w:szCs w:val="24"/>
        </w:rPr>
        <w:t xml:space="preserve">for </w:t>
      </w:r>
      <w:r>
        <w:t>New Build, Existing Stock and Legacy Stock</w:t>
      </w:r>
      <w:r w:rsidR="00AE3932" w:rsidRPr="00AE3932">
        <w:rPr>
          <w:szCs w:val="24"/>
        </w:rPr>
        <w:t xml:space="preserve">. </w:t>
      </w:r>
      <w:r w:rsidR="00A464FD">
        <w:rPr>
          <w:szCs w:val="24"/>
        </w:rPr>
        <w:t xml:space="preserve"> The definitions are from the SDA Rules. </w:t>
      </w:r>
    </w:p>
    <w:p w:rsidR="00790DB8" w:rsidRPr="00D07041" w:rsidRDefault="00D07041" w:rsidP="00DC7382">
      <w:pPr>
        <w:pStyle w:val="Caption"/>
        <w:rPr>
          <w:sz w:val="24"/>
          <w:szCs w:val="24"/>
        </w:rPr>
      </w:pPr>
      <w:bookmarkStart w:id="13" w:name="_Ref453931671"/>
      <w:r>
        <w:rPr>
          <w:caps w:val="0"/>
          <w:sz w:val="24"/>
          <w:szCs w:val="24"/>
        </w:rPr>
        <w:t>T</w:t>
      </w:r>
      <w:r w:rsidRPr="00D07041">
        <w:rPr>
          <w:caps w:val="0"/>
          <w:sz w:val="24"/>
          <w:szCs w:val="24"/>
        </w:rPr>
        <w:t xml:space="preserve">able </w:t>
      </w:r>
      <w:r w:rsidR="008A0313" w:rsidRPr="00D07041">
        <w:rPr>
          <w:sz w:val="24"/>
          <w:szCs w:val="24"/>
        </w:rPr>
        <w:fldChar w:fldCharType="begin"/>
      </w:r>
      <w:r w:rsidR="008A0313" w:rsidRPr="00D07041">
        <w:rPr>
          <w:sz w:val="24"/>
          <w:szCs w:val="24"/>
        </w:rPr>
        <w:instrText xml:space="preserve"> SEQ Table \* ARABIC </w:instrText>
      </w:r>
      <w:r w:rsidR="008A0313" w:rsidRPr="00D07041">
        <w:rPr>
          <w:sz w:val="24"/>
          <w:szCs w:val="24"/>
        </w:rPr>
        <w:fldChar w:fldCharType="separate"/>
      </w:r>
      <w:r w:rsidR="00B74B5B">
        <w:rPr>
          <w:noProof/>
          <w:sz w:val="24"/>
          <w:szCs w:val="24"/>
        </w:rPr>
        <w:t>1</w:t>
      </w:r>
      <w:r w:rsidR="008A0313" w:rsidRPr="00D07041">
        <w:rPr>
          <w:noProof/>
          <w:sz w:val="24"/>
          <w:szCs w:val="24"/>
        </w:rPr>
        <w:fldChar w:fldCharType="end"/>
      </w:r>
      <w:bookmarkEnd w:id="13"/>
      <w:r w:rsidRPr="00D07041">
        <w:rPr>
          <w:caps w:val="0"/>
          <w:sz w:val="24"/>
          <w:szCs w:val="24"/>
        </w:rPr>
        <w:t xml:space="preserve">: </w:t>
      </w:r>
      <w:r>
        <w:rPr>
          <w:caps w:val="0"/>
          <w:sz w:val="24"/>
          <w:szCs w:val="24"/>
        </w:rPr>
        <w:t>D</w:t>
      </w:r>
      <w:r w:rsidRPr="00D07041">
        <w:rPr>
          <w:caps w:val="0"/>
          <w:sz w:val="24"/>
          <w:szCs w:val="24"/>
        </w:rPr>
        <w:t xml:space="preserve">efinitions for </w:t>
      </w:r>
      <w:r>
        <w:rPr>
          <w:caps w:val="0"/>
          <w:sz w:val="24"/>
          <w:szCs w:val="24"/>
        </w:rPr>
        <w:t>N</w:t>
      </w:r>
      <w:r w:rsidRPr="00D07041">
        <w:rPr>
          <w:caps w:val="0"/>
          <w:sz w:val="24"/>
          <w:szCs w:val="24"/>
        </w:rPr>
        <w:t xml:space="preserve">ew </w:t>
      </w:r>
      <w:r>
        <w:rPr>
          <w:caps w:val="0"/>
          <w:sz w:val="24"/>
          <w:szCs w:val="24"/>
        </w:rPr>
        <w:t>B</w:t>
      </w:r>
      <w:r w:rsidRPr="00D07041">
        <w:rPr>
          <w:caps w:val="0"/>
          <w:sz w:val="24"/>
          <w:szCs w:val="24"/>
        </w:rPr>
        <w:t xml:space="preserve">uilds, </w:t>
      </w:r>
      <w:r>
        <w:rPr>
          <w:caps w:val="0"/>
          <w:sz w:val="24"/>
          <w:szCs w:val="24"/>
        </w:rPr>
        <w:t>E</w:t>
      </w:r>
      <w:r w:rsidRPr="00D07041">
        <w:rPr>
          <w:caps w:val="0"/>
          <w:sz w:val="24"/>
          <w:szCs w:val="24"/>
        </w:rPr>
        <w:t xml:space="preserve">xisting </w:t>
      </w:r>
      <w:r>
        <w:rPr>
          <w:caps w:val="0"/>
          <w:sz w:val="24"/>
          <w:szCs w:val="24"/>
        </w:rPr>
        <w:t>S</w:t>
      </w:r>
      <w:r w:rsidRPr="00D07041">
        <w:rPr>
          <w:caps w:val="0"/>
          <w:sz w:val="24"/>
          <w:szCs w:val="24"/>
        </w:rPr>
        <w:t xml:space="preserve">tock and </w:t>
      </w:r>
      <w:r>
        <w:rPr>
          <w:caps w:val="0"/>
          <w:sz w:val="24"/>
          <w:szCs w:val="24"/>
        </w:rPr>
        <w:t>L</w:t>
      </w:r>
      <w:r w:rsidRPr="00D07041">
        <w:rPr>
          <w:caps w:val="0"/>
          <w:sz w:val="24"/>
          <w:szCs w:val="24"/>
        </w:rPr>
        <w:t xml:space="preserve">egacy </w:t>
      </w:r>
      <w:r>
        <w:rPr>
          <w:caps w:val="0"/>
          <w:sz w:val="24"/>
          <w:szCs w:val="24"/>
        </w:rPr>
        <w:t>S</w:t>
      </w:r>
      <w:r w:rsidRPr="00D07041">
        <w:rPr>
          <w:caps w:val="0"/>
          <w:sz w:val="24"/>
          <w:szCs w:val="24"/>
        </w:rPr>
        <w:t xml:space="preserve">tock </w:t>
      </w:r>
    </w:p>
    <w:tbl>
      <w:tblPr>
        <w:tblStyle w:val="TableGrid"/>
        <w:tblW w:w="0" w:type="auto"/>
        <w:tblLook w:val="04A0" w:firstRow="1" w:lastRow="0" w:firstColumn="1" w:lastColumn="0" w:noHBand="0" w:noVBand="1"/>
        <w:tblCaption w:val="Type of SDA, the definitions"/>
        <w:tblDescription w:val="Detailed description of the definition of all SDA types, new, exisiting and legacy dwellings"/>
      </w:tblPr>
      <w:tblGrid>
        <w:gridCol w:w="1838"/>
        <w:gridCol w:w="8618"/>
      </w:tblGrid>
      <w:tr w:rsidR="00E24DAF" w:rsidRPr="00E24DAF" w:rsidTr="006F1520">
        <w:trPr>
          <w:tblHeader/>
        </w:trPr>
        <w:tc>
          <w:tcPr>
            <w:tcW w:w="1838" w:type="dxa"/>
            <w:tcBorders>
              <w:top w:val="single" w:sz="4" w:space="0" w:color="7030A0"/>
              <w:left w:val="single" w:sz="4" w:space="0" w:color="7030A0"/>
              <w:bottom w:val="single" w:sz="4" w:space="0" w:color="7030A0"/>
              <w:right w:val="single" w:sz="4" w:space="0" w:color="7030A0"/>
            </w:tcBorders>
            <w:shd w:val="clear" w:color="auto" w:fill="7030A0"/>
          </w:tcPr>
          <w:p w:rsidR="00C11814" w:rsidRPr="00E24DAF" w:rsidRDefault="001A7ABB" w:rsidP="001A7ABB">
            <w:pPr>
              <w:rPr>
                <w:b/>
                <w:color w:val="FFFFFF" w:themeColor="background1"/>
                <w:sz w:val="20"/>
              </w:rPr>
            </w:pPr>
            <w:r>
              <w:rPr>
                <w:b/>
                <w:color w:val="FFFFFF" w:themeColor="background1"/>
                <w:sz w:val="20"/>
              </w:rPr>
              <w:t>Type of</w:t>
            </w:r>
            <w:r w:rsidR="0047561D">
              <w:rPr>
                <w:b/>
                <w:color w:val="FFFFFF" w:themeColor="background1"/>
                <w:sz w:val="20"/>
              </w:rPr>
              <w:t xml:space="preserve"> </w:t>
            </w:r>
            <w:r w:rsidR="00BF1C56">
              <w:rPr>
                <w:b/>
                <w:color w:val="FFFFFF" w:themeColor="background1"/>
                <w:sz w:val="20"/>
              </w:rPr>
              <w:t>SDA</w:t>
            </w:r>
          </w:p>
        </w:tc>
        <w:tc>
          <w:tcPr>
            <w:tcW w:w="8618" w:type="dxa"/>
            <w:tcBorders>
              <w:top w:val="single" w:sz="4" w:space="0" w:color="7030A0"/>
              <w:left w:val="single" w:sz="4" w:space="0" w:color="7030A0"/>
              <w:bottom w:val="single" w:sz="4" w:space="0" w:color="7030A0"/>
              <w:right w:val="single" w:sz="4" w:space="0" w:color="7030A0"/>
            </w:tcBorders>
            <w:shd w:val="clear" w:color="auto" w:fill="7030A0"/>
          </w:tcPr>
          <w:p w:rsidR="00C11814" w:rsidRPr="00E24DAF" w:rsidRDefault="00FF0653" w:rsidP="00FF0653">
            <w:pPr>
              <w:keepNext/>
              <w:keepLines/>
              <w:spacing w:after="200" w:line="288" w:lineRule="auto"/>
              <w:rPr>
                <w:b/>
                <w:color w:val="FFFFFF" w:themeColor="background1"/>
                <w:sz w:val="20"/>
              </w:rPr>
            </w:pPr>
            <w:r w:rsidRPr="00E24DAF">
              <w:rPr>
                <w:b/>
                <w:color w:val="FFFFFF" w:themeColor="background1"/>
                <w:sz w:val="20"/>
              </w:rPr>
              <w:t>Definition</w:t>
            </w:r>
          </w:p>
        </w:tc>
      </w:tr>
      <w:tr w:rsidR="00AF77C6" w:rsidRPr="00AF77C6" w:rsidTr="006F1520">
        <w:tc>
          <w:tcPr>
            <w:tcW w:w="1838" w:type="dxa"/>
            <w:tcBorders>
              <w:top w:val="single" w:sz="4" w:space="0" w:color="7030A0"/>
              <w:left w:val="single" w:sz="4" w:space="0" w:color="7030A0"/>
              <w:bottom w:val="single" w:sz="4" w:space="0" w:color="7030A0"/>
              <w:right w:val="single" w:sz="4" w:space="0" w:color="7030A0"/>
            </w:tcBorders>
          </w:tcPr>
          <w:p w:rsidR="00AF77C6" w:rsidRPr="002B5B14" w:rsidRDefault="007B32B2" w:rsidP="006E4530">
            <w:pPr>
              <w:spacing w:before="240"/>
              <w:rPr>
                <w:sz w:val="22"/>
              </w:rPr>
            </w:pPr>
            <w:r w:rsidRPr="002B5B14">
              <w:rPr>
                <w:b/>
                <w:sz w:val="22"/>
              </w:rPr>
              <w:t xml:space="preserve">New Builds </w:t>
            </w:r>
          </w:p>
        </w:tc>
        <w:tc>
          <w:tcPr>
            <w:tcW w:w="8618" w:type="dxa"/>
            <w:tcBorders>
              <w:top w:val="single" w:sz="4" w:space="0" w:color="7030A0"/>
              <w:left w:val="single" w:sz="4" w:space="0" w:color="7030A0"/>
              <w:bottom w:val="single" w:sz="4" w:space="0" w:color="7030A0"/>
              <w:right w:val="single" w:sz="4" w:space="0" w:color="7030A0"/>
            </w:tcBorders>
          </w:tcPr>
          <w:p w:rsidR="001D4DE9" w:rsidRDefault="001D4DE9" w:rsidP="001D4DE9">
            <w:pPr>
              <w:pStyle w:val="NDISSubsection"/>
              <w:numPr>
                <w:ilvl w:val="0"/>
                <w:numId w:val="0"/>
              </w:numPr>
              <w:ind w:left="567" w:hanging="567"/>
            </w:pPr>
            <w:bookmarkStart w:id="14" w:name="_Ref459754144"/>
            <w:r>
              <w:t>A dwelling is a New Build if:</w:t>
            </w:r>
            <w:bookmarkEnd w:id="14"/>
          </w:p>
          <w:p w:rsidR="001D4DE9" w:rsidRDefault="001D4DE9" w:rsidP="009D1CB1">
            <w:pPr>
              <w:pStyle w:val="NDISParagraph"/>
              <w:numPr>
                <w:ilvl w:val="5"/>
                <w:numId w:val="55"/>
              </w:numPr>
            </w:pPr>
            <w:bookmarkStart w:id="15" w:name="_Ref466363665"/>
            <w:r>
              <w:t xml:space="preserve">Either: </w:t>
            </w:r>
          </w:p>
          <w:p w:rsidR="001D4DE9" w:rsidRDefault="001D4DE9" w:rsidP="001D4DE9">
            <w:pPr>
              <w:pStyle w:val="NDISSubparagraph"/>
            </w:pPr>
            <w:r>
              <w:t xml:space="preserve">It was issued its first certificate of occupancy (or equivalent) on or after 1 April 2016; or </w:t>
            </w:r>
          </w:p>
          <w:bookmarkEnd w:id="15"/>
          <w:p w:rsidR="001D4DE9" w:rsidRDefault="001D4DE9" w:rsidP="001D4DE9">
            <w:pPr>
              <w:pStyle w:val="NDISSubparagraph"/>
            </w:pPr>
            <w:r>
              <w:t>It has been renovated or refurbished and issued with a certificate of occupancy (or equivalent) after 1 April 2016 and:</w:t>
            </w:r>
          </w:p>
          <w:p w:rsidR="00587918" w:rsidRDefault="00A838DE" w:rsidP="00A464FD">
            <w:pPr>
              <w:pStyle w:val="NDISSubsubparagraph"/>
            </w:pPr>
            <w:r>
              <w:t xml:space="preserve">Because of the renovation or refurbishment </w:t>
            </w:r>
            <w:r w:rsidR="001D4DE9">
              <w:t xml:space="preserve">the dwelling meets the Minimum Requirements </w:t>
            </w:r>
            <w:r w:rsidR="002B5B14">
              <w:t xml:space="preserve">for a Design Category other than Basic design </w:t>
            </w:r>
            <w:r w:rsidR="00587918">
              <w:t>set out at Step 2B below;</w:t>
            </w:r>
            <w:r w:rsidR="001D4DE9">
              <w:t xml:space="preserve"> and</w:t>
            </w:r>
          </w:p>
          <w:p w:rsidR="001D4DE9" w:rsidRDefault="001D4DE9" w:rsidP="00A464FD">
            <w:pPr>
              <w:pStyle w:val="NDISSubsubparagraph"/>
            </w:pPr>
            <w:r>
              <w:t xml:space="preserve">the cost of the refurbishment was </w:t>
            </w:r>
            <w:r w:rsidR="009D1CB1">
              <w:t>equal to or greater than</w:t>
            </w:r>
            <w:r>
              <w:t xml:space="preserve"> the </w:t>
            </w:r>
            <w:r w:rsidR="00587918">
              <w:t xml:space="preserve">amount </w:t>
            </w:r>
            <w:r>
              <w:t xml:space="preserve">set out in the </w:t>
            </w:r>
            <w:r w:rsidR="00587918">
              <w:t xml:space="preserve">Table of Minimum Refurbishments Costs at Table 2; </w:t>
            </w:r>
            <w:r>
              <w:t xml:space="preserve"> </w:t>
            </w:r>
          </w:p>
          <w:p w:rsidR="00BA2522" w:rsidRDefault="00BA2522" w:rsidP="009D1CB1">
            <w:pPr>
              <w:pStyle w:val="NDISParagraph"/>
              <w:numPr>
                <w:ilvl w:val="0"/>
                <w:numId w:val="0"/>
              </w:numPr>
            </w:pPr>
            <w:bookmarkStart w:id="16" w:name="_Ref459714103"/>
            <w:r>
              <w:t>AND</w:t>
            </w:r>
          </w:p>
          <w:p w:rsidR="001D4DE9" w:rsidRDefault="00BA2522" w:rsidP="001D4DE9">
            <w:pPr>
              <w:pStyle w:val="NDISParagraph"/>
              <w:tabs>
                <w:tab w:val="clear" w:pos="1134"/>
                <w:tab w:val="num" w:pos="1559"/>
              </w:tabs>
            </w:pPr>
            <w:r>
              <w:t>E</w:t>
            </w:r>
            <w:r w:rsidR="001D4DE9">
              <w:t>ither:</w:t>
            </w:r>
          </w:p>
          <w:p w:rsidR="001D4DE9" w:rsidRDefault="00BA2522" w:rsidP="001D4DE9">
            <w:pPr>
              <w:pStyle w:val="NDISSubparagraph"/>
            </w:pPr>
            <w:r>
              <w:t>I</w:t>
            </w:r>
            <w:r w:rsidR="001D4DE9">
              <w:t>t is enrolled to house five or fewer long-term residents (excluding support staff);</w:t>
            </w:r>
            <w:bookmarkEnd w:id="16"/>
            <w:r w:rsidR="001D4DE9">
              <w:t xml:space="preserve"> or</w:t>
            </w:r>
          </w:p>
          <w:p w:rsidR="001D4DE9" w:rsidRDefault="00985454" w:rsidP="001D4DE9">
            <w:pPr>
              <w:pStyle w:val="NDISSubparagraph"/>
            </w:pPr>
            <w:bookmarkStart w:id="17" w:name="_Ref466539586"/>
            <w:r>
              <w:t>I</w:t>
            </w:r>
            <w:r w:rsidR="001D4DE9">
              <w:t>t is the home of a participant who intends to provide SDA to themselves (as a registered provider) and to reside there with</w:t>
            </w:r>
            <w:r w:rsidR="009D1CB1">
              <w:t xml:space="preserve"> </w:t>
            </w:r>
            <w:r w:rsidR="001D4DE9">
              <w:t>the participant’s spouse or de facto partner and children;</w:t>
            </w:r>
            <w:bookmarkEnd w:id="17"/>
          </w:p>
          <w:p w:rsidR="009D1CB1" w:rsidRDefault="009D1CB1" w:rsidP="00BA2522">
            <w:pPr>
              <w:pStyle w:val="NDISParagraph"/>
              <w:numPr>
                <w:ilvl w:val="0"/>
                <w:numId w:val="0"/>
              </w:numPr>
              <w:ind w:left="1134" w:hanging="567"/>
            </w:pPr>
          </w:p>
          <w:p w:rsidR="00BA2522" w:rsidRDefault="00BA2522" w:rsidP="009D1CB1">
            <w:pPr>
              <w:pStyle w:val="NDISParagraph"/>
              <w:numPr>
                <w:ilvl w:val="0"/>
                <w:numId w:val="0"/>
              </w:numPr>
            </w:pPr>
            <w:bookmarkStart w:id="18" w:name="_Ref459714113"/>
            <w:r>
              <w:t>AND</w:t>
            </w:r>
          </w:p>
          <w:p w:rsidR="00BA2522" w:rsidRDefault="00985454" w:rsidP="001D4DE9">
            <w:pPr>
              <w:pStyle w:val="NDISParagraph"/>
              <w:tabs>
                <w:tab w:val="clear" w:pos="1134"/>
                <w:tab w:val="num" w:pos="1559"/>
              </w:tabs>
            </w:pPr>
            <w:r>
              <w:t>A</w:t>
            </w:r>
            <w:r w:rsidR="001D4DE9">
              <w:t xml:space="preserve">ll its shared areas and the majority of its bedrooms and similar sized private rooms comply with the Minimum Requirements </w:t>
            </w:r>
            <w:r w:rsidR="002B5B14">
              <w:t xml:space="preserve">for a Design Category other than Basic design </w:t>
            </w:r>
            <w:r w:rsidR="00BA2522">
              <w:t>set out at Step 2B below</w:t>
            </w:r>
            <w:r>
              <w:t>;</w:t>
            </w:r>
          </w:p>
          <w:p w:rsidR="00BA2522" w:rsidRDefault="00BA2522" w:rsidP="009D1CB1">
            <w:pPr>
              <w:pStyle w:val="NDISParagraph"/>
              <w:numPr>
                <w:ilvl w:val="0"/>
                <w:numId w:val="0"/>
              </w:numPr>
            </w:pPr>
            <w:r>
              <w:t xml:space="preserve">AND </w:t>
            </w:r>
          </w:p>
          <w:p w:rsidR="00AF77C6" w:rsidRPr="00BA2522" w:rsidRDefault="00985454" w:rsidP="00BA2522">
            <w:pPr>
              <w:pStyle w:val="NDISParagraph"/>
              <w:tabs>
                <w:tab w:val="clear" w:pos="1134"/>
                <w:tab w:val="num" w:pos="1559"/>
              </w:tabs>
              <w:rPr>
                <w:sz w:val="20"/>
              </w:rPr>
            </w:pPr>
            <w:r>
              <w:t>I</w:t>
            </w:r>
            <w:r w:rsidR="00BA2522">
              <w:t xml:space="preserve">t does not breach the density restrictions for New </w:t>
            </w:r>
            <w:r>
              <w:t xml:space="preserve">Builds </w:t>
            </w:r>
            <w:r w:rsidR="00BA2522">
              <w:t xml:space="preserve">in SDA Rules 6.14 to 6.17.  </w:t>
            </w:r>
            <w:r>
              <w:t>T</w:t>
            </w:r>
            <w:r w:rsidR="00BA2522">
              <w:t xml:space="preserve">he density restrictions apply when there </w:t>
            </w:r>
            <w:r w:rsidR="00153A9B">
              <w:t xml:space="preserve">are </w:t>
            </w:r>
            <w:r w:rsidR="00BA2522">
              <w:t>multiple dwellings on a single parcel of land.</w:t>
            </w:r>
            <w:bookmarkEnd w:id="18"/>
          </w:p>
          <w:p w:rsidR="00BA2522" w:rsidRPr="00BA2522" w:rsidRDefault="00BA2522" w:rsidP="00BA2522">
            <w:pPr>
              <w:pStyle w:val="NDISParagraph"/>
              <w:numPr>
                <w:ilvl w:val="0"/>
                <w:numId w:val="0"/>
              </w:numPr>
              <w:ind w:left="1134"/>
              <w:rPr>
                <w:sz w:val="20"/>
              </w:rPr>
            </w:pPr>
          </w:p>
        </w:tc>
      </w:tr>
      <w:tr w:rsidR="005A5395" w:rsidRPr="00AF77C6" w:rsidTr="006F1520">
        <w:trPr>
          <w:trHeight w:val="1105"/>
        </w:trPr>
        <w:tc>
          <w:tcPr>
            <w:tcW w:w="1838" w:type="dxa"/>
            <w:tcBorders>
              <w:top w:val="single" w:sz="4" w:space="0" w:color="7030A0"/>
              <w:left w:val="single" w:sz="4" w:space="0" w:color="7030A0"/>
              <w:right w:val="single" w:sz="4" w:space="0" w:color="7030A0"/>
            </w:tcBorders>
          </w:tcPr>
          <w:p w:rsidR="005A5395" w:rsidRPr="002B5B14" w:rsidRDefault="007B32B2" w:rsidP="006E4530">
            <w:pPr>
              <w:spacing w:before="240"/>
              <w:rPr>
                <w:b/>
                <w:sz w:val="22"/>
              </w:rPr>
            </w:pPr>
            <w:r w:rsidRPr="002B5B14">
              <w:rPr>
                <w:b/>
                <w:sz w:val="22"/>
              </w:rPr>
              <w:t xml:space="preserve">Existing Stock </w:t>
            </w:r>
          </w:p>
          <w:p w:rsidR="005A5395" w:rsidRPr="00E24DAF" w:rsidRDefault="005A5395" w:rsidP="0032246B">
            <w:pPr>
              <w:rPr>
                <w:b/>
                <w:sz w:val="20"/>
              </w:rPr>
            </w:pPr>
          </w:p>
        </w:tc>
        <w:tc>
          <w:tcPr>
            <w:tcW w:w="8618" w:type="dxa"/>
            <w:tcBorders>
              <w:top w:val="single" w:sz="4" w:space="0" w:color="7030A0"/>
              <w:left w:val="single" w:sz="4" w:space="0" w:color="7030A0"/>
              <w:right w:val="single" w:sz="4" w:space="0" w:color="7030A0"/>
            </w:tcBorders>
          </w:tcPr>
          <w:p w:rsidR="00A464FD" w:rsidRDefault="00A464FD" w:rsidP="00A464FD">
            <w:pPr>
              <w:pStyle w:val="NDISSubsection"/>
              <w:numPr>
                <w:ilvl w:val="0"/>
                <w:numId w:val="0"/>
              </w:numPr>
              <w:ind w:left="567" w:hanging="567"/>
            </w:pPr>
            <w:bookmarkStart w:id="19" w:name="_Ref459754160"/>
            <w:r>
              <w:t>A dwelling is Existing Stock if:</w:t>
            </w:r>
            <w:bookmarkEnd w:id="19"/>
          </w:p>
          <w:p w:rsidR="00A464FD" w:rsidRDefault="00985454" w:rsidP="00985454">
            <w:pPr>
              <w:pStyle w:val="NDISParagraph"/>
              <w:numPr>
                <w:ilvl w:val="5"/>
                <w:numId w:val="42"/>
              </w:numPr>
              <w:tabs>
                <w:tab w:val="clear" w:pos="1134"/>
                <w:tab w:val="num" w:pos="1559"/>
              </w:tabs>
            </w:pPr>
            <w:bookmarkStart w:id="20" w:name="_Ref466363712"/>
            <w:r>
              <w:t>I</w:t>
            </w:r>
            <w:r w:rsidR="00A464FD">
              <w:t>t does not have a certificate of occupancy for a New Build (described in paragraph 1 of the definition of New Builds above);</w:t>
            </w:r>
            <w:r>
              <w:t xml:space="preserve"> and</w:t>
            </w:r>
          </w:p>
          <w:p w:rsidR="00A464FD" w:rsidRDefault="00985454" w:rsidP="00985454">
            <w:pPr>
              <w:pStyle w:val="NDISParagraph"/>
              <w:numPr>
                <w:ilvl w:val="5"/>
                <w:numId w:val="42"/>
              </w:numPr>
              <w:tabs>
                <w:tab w:val="clear" w:pos="1134"/>
                <w:tab w:val="num" w:pos="1559"/>
              </w:tabs>
            </w:pPr>
            <w:r>
              <w:t>I</w:t>
            </w:r>
            <w:r w:rsidR="00A464FD">
              <w:t>t is enrolled to house five or fewer long-term residents (excluding support staff);</w:t>
            </w:r>
            <w:bookmarkEnd w:id="20"/>
            <w:r w:rsidR="00A464FD">
              <w:t xml:space="preserve"> </w:t>
            </w:r>
            <w:r>
              <w:t>and</w:t>
            </w:r>
          </w:p>
          <w:p w:rsidR="00A464FD" w:rsidRDefault="00985454" w:rsidP="00985454">
            <w:pPr>
              <w:pStyle w:val="NDISParagraph"/>
              <w:numPr>
                <w:ilvl w:val="5"/>
                <w:numId w:val="42"/>
              </w:numPr>
              <w:tabs>
                <w:tab w:val="clear" w:pos="1134"/>
                <w:tab w:val="num" w:pos="1559"/>
              </w:tabs>
            </w:pPr>
            <w:bookmarkStart w:id="21" w:name="_Ref459713558"/>
            <w:r>
              <w:t>I</w:t>
            </w:r>
            <w:r w:rsidR="00A464FD">
              <w:t>t has been, at some time between 1 July 2013 and 1 December 2016, primarily used as accommodation for people with disability who have an extreme functional impairment or very high support needs;</w:t>
            </w:r>
            <w:bookmarkEnd w:id="21"/>
            <w:r>
              <w:t xml:space="preserve"> and</w:t>
            </w:r>
          </w:p>
          <w:p w:rsidR="00A464FD" w:rsidRDefault="00985454" w:rsidP="00985454">
            <w:pPr>
              <w:pStyle w:val="NDISParagraph"/>
              <w:numPr>
                <w:ilvl w:val="5"/>
                <w:numId w:val="42"/>
              </w:numPr>
              <w:tabs>
                <w:tab w:val="clear" w:pos="1134"/>
                <w:tab w:val="num" w:pos="1559"/>
              </w:tabs>
            </w:pPr>
            <w:bookmarkStart w:id="22" w:name="_Ref459713565"/>
            <w:r>
              <w:t>I</w:t>
            </w:r>
            <w:r w:rsidR="00A464FD">
              <w:t>t is not an aged care, health care or other facility that is not specifically intended for use as disability accommodation;</w:t>
            </w:r>
            <w:bookmarkEnd w:id="22"/>
            <w:r w:rsidR="00A464FD">
              <w:t xml:space="preserve"> </w:t>
            </w:r>
            <w:r>
              <w:t>and</w:t>
            </w:r>
          </w:p>
          <w:p w:rsidR="00A464FD" w:rsidRDefault="00985454" w:rsidP="00985454">
            <w:pPr>
              <w:pStyle w:val="NDISParagraph"/>
              <w:numPr>
                <w:ilvl w:val="5"/>
                <w:numId w:val="42"/>
              </w:numPr>
              <w:tabs>
                <w:tab w:val="clear" w:pos="1134"/>
                <w:tab w:val="num" w:pos="1559"/>
              </w:tabs>
            </w:pPr>
            <w:bookmarkStart w:id="23" w:name="_Ref459713979"/>
            <w:r>
              <w:t>I</w:t>
            </w:r>
            <w:r w:rsidR="00A464FD">
              <w:t>t housed at least one resident who received disability related supported accommodation (or equivalent) payments from a State, Territory or Commonwealth Government at some time between 1 July 2013 and 1 December 2016;</w:t>
            </w:r>
            <w:bookmarkEnd w:id="23"/>
            <w:r w:rsidR="00A464FD">
              <w:t xml:space="preserve"> and</w:t>
            </w:r>
          </w:p>
          <w:p w:rsidR="00985454" w:rsidRDefault="00985454" w:rsidP="00985454">
            <w:pPr>
              <w:pStyle w:val="NDISParagraph"/>
              <w:numPr>
                <w:ilvl w:val="5"/>
                <w:numId w:val="42"/>
              </w:numPr>
            </w:pPr>
            <w:bookmarkStart w:id="24" w:name="_Ref466363720"/>
            <w:r>
              <w:t>A</w:t>
            </w:r>
            <w:r w:rsidR="00A464FD">
              <w:t>ll its shared areas and the majority of its bedrooms and similar sized private rooms comply</w:t>
            </w:r>
            <w:r>
              <w:t>,</w:t>
            </w:r>
            <w:r w:rsidR="00A464FD">
              <w:t xml:space="preserve"> or substantially comply</w:t>
            </w:r>
            <w:r>
              <w:t>,</w:t>
            </w:r>
            <w:r w:rsidR="00A464FD">
              <w:t xml:space="preserve"> with the </w:t>
            </w:r>
            <w:r>
              <w:t>Minimum Requirements for any of the Design Categories set out at Step 2B below.</w:t>
            </w:r>
          </w:p>
          <w:p w:rsidR="00A464FD" w:rsidRDefault="00A464FD" w:rsidP="00985454">
            <w:pPr>
              <w:pStyle w:val="NDISSubsection"/>
              <w:numPr>
                <w:ilvl w:val="0"/>
                <w:numId w:val="0"/>
              </w:numPr>
              <w:ind w:left="567" w:hanging="567"/>
            </w:pPr>
            <w:bookmarkStart w:id="25" w:name="_Ref454881839"/>
            <w:bookmarkStart w:id="26" w:name="_Ref458762159"/>
            <w:bookmarkEnd w:id="24"/>
            <w:r>
              <w:t xml:space="preserve">A dwelling </w:t>
            </w:r>
            <w:r w:rsidR="00985454">
              <w:t xml:space="preserve">is </w:t>
            </w:r>
            <w:r>
              <w:t>also Existing Stock if:</w:t>
            </w:r>
            <w:bookmarkEnd w:id="25"/>
            <w:bookmarkEnd w:id="26"/>
          </w:p>
          <w:p w:rsidR="00985454" w:rsidRDefault="00985454" w:rsidP="00A838DE">
            <w:pPr>
              <w:pStyle w:val="NDISParagraph"/>
              <w:numPr>
                <w:ilvl w:val="5"/>
                <w:numId w:val="43"/>
              </w:numPr>
              <w:tabs>
                <w:tab w:val="clear" w:pos="1134"/>
                <w:tab w:val="num" w:pos="1559"/>
              </w:tabs>
            </w:pPr>
            <w:r>
              <w:t xml:space="preserve">It does not have a certificate of occupancy for a New Build (described in paragraph 1 of the definition of New Builds above); </w:t>
            </w:r>
          </w:p>
          <w:p w:rsidR="00985454" w:rsidRDefault="00985454" w:rsidP="009D1CB1">
            <w:pPr>
              <w:pStyle w:val="NDISParagraph"/>
              <w:numPr>
                <w:ilvl w:val="0"/>
                <w:numId w:val="0"/>
              </w:numPr>
              <w:tabs>
                <w:tab w:val="num" w:pos="1559"/>
              </w:tabs>
            </w:pPr>
            <w:r>
              <w:t>AND</w:t>
            </w:r>
          </w:p>
          <w:p w:rsidR="00A464FD" w:rsidRDefault="00985454" w:rsidP="00816D23">
            <w:pPr>
              <w:pStyle w:val="NDISParagraph"/>
              <w:numPr>
                <w:ilvl w:val="5"/>
                <w:numId w:val="42"/>
              </w:numPr>
              <w:tabs>
                <w:tab w:val="clear" w:pos="1134"/>
                <w:tab w:val="num" w:pos="1559"/>
              </w:tabs>
            </w:pPr>
            <w:r>
              <w:t>E</w:t>
            </w:r>
            <w:r w:rsidR="00A464FD">
              <w:t>ither:</w:t>
            </w:r>
          </w:p>
          <w:p w:rsidR="00A464FD" w:rsidRDefault="00A464FD" w:rsidP="00985454">
            <w:pPr>
              <w:pStyle w:val="NDISSubparagraph"/>
              <w:numPr>
                <w:ilvl w:val="6"/>
                <w:numId w:val="42"/>
              </w:numPr>
            </w:pPr>
            <w:r>
              <w:t>it is enrolled to house five or fewer long-term residents (excluding support staff); or</w:t>
            </w:r>
          </w:p>
          <w:p w:rsidR="00A464FD" w:rsidRDefault="00A464FD" w:rsidP="00985454">
            <w:pPr>
              <w:pStyle w:val="NDISSubparagraph"/>
              <w:numPr>
                <w:ilvl w:val="6"/>
                <w:numId w:val="42"/>
              </w:numPr>
            </w:pPr>
            <w:bookmarkStart w:id="27" w:name="_Ref467136160"/>
            <w:r>
              <w:t>it is the home of a participant who intends to provide SDA to themselves (as a registered prov</w:t>
            </w:r>
            <w:r w:rsidR="009D1CB1">
              <w:t xml:space="preserve">ider) and to reside there with </w:t>
            </w:r>
            <w:r>
              <w:t>the participant’s spouse or de facto partner and children;</w:t>
            </w:r>
            <w:bookmarkEnd w:id="27"/>
          </w:p>
          <w:p w:rsidR="00A838DE" w:rsidRDefault="00A838DE" w:rsidP="009D1CB1">
            <w:pPr>
              <w:pStyle w:val="NDISSubparagraph"/>
              <w:numPr>
                <w:ilvl w:val="0"/>
                <w:numId w:val="0"/>
              </w:numPr>
            </w:pPr>
            <w:r>
              <w:t>AND</w:t>
            </w:r>
          </w:p>
          <w:p w:rsidR="00B9331D" w:rsidRPr="00E24DAF" w:rsidRDefault="00A838DE" w:rsidP="002B5B14">
            <w:pPr>
              <w:pStyle w:val="NDISParagraph"/>
              <w:keepNext/>
              <w:keepLines/>
              <w:numPr>
                <w:ilvl w:val="5"/>
                <w:numId w:val="42"/>
              </w:numPr>
              <w:tabs>
                <w:tab w:val="clear" w:pos="1134"/>
                <w:tab w:val="num" w:pos="1559"/>
              </w:tabs>
              <w:spacing w:after="200" w:line="288" w:lineRule="auto"/>
            </w:pPr>
            <w:r>
              <w:t>A</w:t>
            </w:r>
            <w:r w:rsidR="00A464FD">
              <w:t xml:space="preserve">ll its shared areas and the majority of its bedrooms and similar sized private rooms comply with the Minimum Requirements </w:t>
            </w:r>
            <w:r w:rsidR="002B5B14">
              <w:t xml:space="preserve">for a Design Category other than Basic design </w:t>
            </w:r>
            <w:r>
              <w:t>set out at Step 2B below</w:t>
            </w:r>
            <w:r w:rsidR="002B5B14">
              <w:t>.</w:t>
            </w:r>
            <w:r>
              <w:t xml:space="preserve"> </w:t>
            </w:r>
          </w:p>
        </w:tc>
      </w:tr>
      <w:tr w:rsidR="00AF77C6" w:rsidRPr="00AF77C6" w:rsidTr="006F1520">
        <w:tc>
          <w:tcPr>
            <w:tcW w:w="1838" w:type="dxa"/>
            <w:tcBorders>
              <w:top w:val="single" w:sz="4" w:space="0" w:color="7030A0"/>
              <w:left w:val="single" w:sz="4" w:space="0" w:color="7030A0"/>
              <w:bottom w:val="single" w:sz="4" w:space="0" w:color="7030A0"/>
              <w:right w:val="single" w:sz="4" w:space="0" w:color="7030A0"/>
            </w:tcBorders>
          </w:tcPr>
          <w:p w:rsidR="00AF77C6" w:rsidRPr="002B5B14" w:rsidRDefault="00AF77C6" w:rsidP="006E4530">
            <w:pPr>
              <w:spacing w:before="240"/>
              <w:rPr>
                <w:b/>
                <w:sz w:val="22"/>
              </w:rPr>
            </w:pPr>
            <w:r w:rsidRPr="002B5B14">
              <w:rPr>
                <w:b/>
                <w:sz w:val="22"/>
              </w:rPr>
              <w:t>Legacy</w:t>
            </w:r>
          </w:p>
        </w:tc>
        <w:tc>
          <w:tcPr>
            <w:tcW w:w="8618" w:type="dxa"/>
            <w:tcBorders>
              <w:top w:val="single" w:sz="4" w:space="0" w:color="7030A0"/>
              <w:left w:val="single" w:sz="4" w:space="0" w:color="7030A0"/>
              <w:bottom w:val="single" w:sz="4" w:space="0" w:color="7030A0"/>
              <w:right w:val="single" w:sz="4" w:space="0" w:color="7030A0"/>
            </w:tcBorders>
          </w:tcPr>
          <w:p w:rsidR="002B5B14" w:rsidRDefault="002B5B14" w:rsidP="002B5B14">
            <w:pPr>
              <w:pStyle w:val="NDISSubsection"/>
              <w:numPr>
                <w:ilvl w:val="0"/>
                <w:numId w:val="0"/>
              </w:numPr>
              <w:ind w:left="567" w:hanging="567"/>
            </w:pPr>
            <w:bookmarkStart w:id="28" w:name="_Ref458762104"/>
            <w:r>
              <w:t>A dwelling is Legacy Stock if:</w:t>
            </w:r>
            <w:bookmarkEnd w:id="28"/>
          </w:p>
          <w:p w:rsidR="002B5B14" w:rsidRDefault="002B5B14" w:rsidP="002B5B14">
            <w:pPr>
              <w:pStyle w:val="NDISParagraph"/>
              <w:numPr>
                <w:ilvl w:val="5"/>
                <w:numId w:val="44"/>
              </w:numPr>
            </w:pPr>
            <w:r>
              <w:t>It does not have a certificate of occupancy for a New Build (described in paragraph 1 of the definition of New Builds above); and</w:t>
            </w:r>
          </w:p>
          <w:p w:rsidR="002B5B14" w:rsidRDefault="002B5B14" w:rsidP="002B5B14">
            <w:pPr>
              <w:pStyle w:val="NDISParagraph"/>
            </w:pPr>
            <w:r>
              <w:t>It is enrolled to house more than five long-term residents (excluding support staff); and</w:t>
            </w:r>
          </w:p>
          <w:p w:rsidR="002B5B14" w:rsidRDefault="002B5B14" w:rsidP="002B5B14">
            <w:pPr>
              <w:pStyle w:val="NDISParagraph"/>
            </w:pPr>
            <w:bookmarkStart w:id="29" w:name="_Ref457898918"/>
            <w:r>
              <w:t xml:space="preserve">It has been, at some time between 1 July 2013 and 1 December 2016, primarily used as </w:t>
            </w:r>
            <w:r w:rsidRPr="00E07E42">
              <w:t>accommodation</w:t>
            </w:r>
            <w:r>
              <w:t xml:space="preserve"> for people with disability who have an extreme functional impairment or very high support needs; and</w:t>
            </w:r>
          </w:p>
          <w:p w:rsidR="002B5B14" w:rsidRDefault="002B5B14" w:rsidP="002B5B14">
            <w:pPr>
              <w:pStyle w:val="NDISParagraph"/>
            </w:pPr>
            <w:r>
              <w:t xml:space="preserve">It housed at least one resident who received disability related supported accommodation (or equivalent) payments from a State, Territory or Commonwealth Government at some time between 1 July 2013 and 1 December 2016; </w:t>
            </w:r>
            <w:bookmarkEnd w:id="29"/>
            <w:r>
              <w:t>and</w:t>
            </w:r>
          </w:p>
          <w:p w:rsidR="002B5B14" w:rsidRDefault="002B5B14" w:rsidP="002B5B14">
            <w:pPr>
              <w:pStyle w:val="NDISParagraph"/>
            </w:pPr>
            <w:bookmarkStart w:id="30" w:name="_Ref457898934"/>
            <w:r>
              <w:t>It is not an aged care, health care or other facility that is not specifically intended for use as disability accommodation</w:t>
            </w:r>
            <w:bookmarkStart w:id="31" w:name="_Ref457898947"/>
            <w:bookmarkEnd w:id="30"/>
            <w:r>
              <w:t>; and</w:t>
            </w:r>
          </w:p>
          <w:p w:rsidR="00AF77C6" w:rsidRPr="00E24DAF" w:rsidRDefault="002B5B14" w:rsidP="00D72488">
            <w:pPr>
              <w:pStyle w:val="NDISParagraph"/>
              <w:spacing w:after="200" w:line="288" w:lineRule="auto"/>
              <w:rPr>
                <w:b/>
                <w:sz w:val="20"/>
              </w:rPr>
            </w:pPr>
            <w:r>
              <w:t xml:space="preserve">All its shared areas and the majority of its bedrooms and similar sized private rooms comply or substantially comply with the </w:t>
            </w:r>
            <w:bookmarkEnd w:id="31"/>
            <w:r w:rsidR="00D72488">
              <w:t>Minimum Requirements for any of the Design Categories set out at Step 2B below.</w:t>
            </w:r>
          </w:p>
        </w:tc>
      </w:tr>
    </w:tbl>
    <w:p w:rsidR="00ED0573" w:rsidRDefault="00ED0573" w:rsidP="00163E7E">
      <w:pPr>
        <w:rPr>
          <w:rFonts w:eastAsia="Times New Roman" w:cs="Arial"/>
          <w:szCs w:val="18"/>
          <w:lang w:val="en"/>
        </w:rPr>
        <w:sectPr w:rsidR="00ED0573" w:rsidSect="00ED0573">
          <w:headerReference w:type="default" r:id="rId12"/>
          <w:footerReference w:type="default" r:id="rId13"/>
          <w:footerReference w:type="first" r:id="rId14"/>
          <w:pgSz w:w="11906" w:h="16838"/>
          <w:pgMar w:top="567" w:right="720" w:bottom="567" w:left="720" w:header="709" w:footer="709" w:gutter="0"/>
          <w:cols w:space="708"/>
          <w:titlePg/>
          <w:docGrid w:linePitch="360"/>
        </w:sectPr>
      </w:pPr>
    </w:p>
    <w:p w:rsidR="00163E7E" w:rsidRPr="00D07041" w:rsidRDefault="00163E7E" w:rsidP="00D07041">
      <w:pPr>
        <w:spacing w:before="0" w:after="200"/>
        <w:rPr>
          <w:b/>
        </w:rPr>
      </w:pPr>
      <w:bookmarkStart w:id="32" w:name="_Ref452473021"/>
      <w:r w:rsidRPr="00D07041">
        <w:rPr>
          <w:b/>
        </w:rPr>
        <w:t xml:space="preserve">Table </w:t>
      </w:r>
      <w:r w:rsidR="008A0313" w:rsidRPr="00D07041">
        <w:rPr>
          <w:b/>
        </w:rPr>
        <w:fldChar w:fldCharType="begin"/>
      </w:r>
      <w:r w:rsidR="008A0313" w:rsidRPr="00D07041">
        <w:rPr>
          <w:b/>
        </w:rPr>
        <w:instrText xml:space="preserve"> SEQ Table \* ARABIC </w:instrText>
      </w:r>
      <w:r w:rsidR="008A0313" w:rsidRPr="00D07041">
        <w:rPr>
          <w:b/>
        </w:rPr>
        <w:fldChar w:fldCharType="separate"/>
      </w:r>
      <w:r w:rsidR="00B74B5B">
        <w:rPr>
          <w:b/>
          <w:noProof/>
        </w:rPr>
        <w:t>2</w:t>
      </w:r>
      <w:r w:rsidR="008A0313" w:rsidRPr="00D07041">
        <w:rPr>
          <w:b/>
          <w:noProof/>
        </w:rPr>
        <w:fldChar w:fldCharType="end"/>
      </w:r>
      <w:bookmarkEnd w:id="32"/>
      <w:r w:rsidRPr="00D07041">
        <w:rPr>
          <w:b/>
        </w:rPr>
        <w:t>: Mi</w:t>
      </w:r>
      <w:r w:rsidR="00FE3332" w:rsidRPr="00D07041">
        <w:rPr>
          <w:b/>
        </w:rPr>
        <w:t xml:space="preserve">nimum </w:t>
      </w:r>
      <w:r w:rsidR="002717B2">
        <w:rPr>
          <w:b/>
        </w:rPr>
        <w:t>R</w:t>
      </w:r>
      <w:r w:rsidR="00FE3332" w:rsidRPr="00D07041">
        <w:rPr>
          <w:b/>
        </w:rPr>
        <w:t xml:space="preserve">efurbishment </w:t>
      </w:r>
      <w:r w:rsidR="002717B2">
        <w:rPr>
          <w:b/>
        </w:rPr>
        <w:t>C</w:t>
      </w:r>
      <w:r w:rsidR="00FE3332" w:rsidRPr="00D07041">
        <w:rPr>
          <w:b/>
        </w:rPr>
        <w:t>ost</w:t>
      </w:r>
      <w:r w:rsidR="002717B2">
        <w:rPr>
          <w:b/>
        </w:rPr>
        <w:t>s</w:t>
      </w:r>
      <w:r w:rsidR="009456DD" w:rsidRPr="00D07041">
        <w:rPr>
          <w:b/>
        </w:rPr>
        <w:t xml:space="preserve"> </w:t>
      </w:r>
      <w:r w:rsidR="00FE3332" w:rsidRPr="00D07041">
        <w:rPr>
          <w:b/>
        </w:rPr>
        <w:t>for New Build</w:t>
      </w:r>
      <w:r w:rsidR="002717B2">
        <w:rPr>
          <w:b/>
        </w:rPr>
        <w:t>s</w:t>
      </w:r>
      <w:r w:rsidR="00FE3332" w:rsidRPr="00D07041">
        <w:rPr>
          <w:b/>
        </w:rPr>
        <w:t xml:space="preserve"> </w:t>
      </w:r>
    </w:p>
    <w:tbl>
      <w:tblPr>
        <w:tblW w:w="14476" w:type="dxa"/>
        <w:tblBorders>
          <w:insideH w:val="single" w:sz="4" w:space="0" w:color="7030A0"/>
          <w:insideV w:val="single" w:sz="4" w:space="0" w:color="7030A0"/>
        </w:tblBorders>
        <w:tblCellMar>
          <w:left w:w="28" w:type="dxa"/>
          <w:right w:w="28" w:type="dxa"/>
        </w:tblCellMar>
        <w:tblLook w:val="04A0" w:firstRow="1" w:lastRow="0" w:firstColumn="1" w:lastColumn="0" w:noHBand="0" w:noVBand="1"/>
      </w:tblPr>
      <w:tblGrid>
        <w:gridCol w:w="2972"/>
        <w:gridCol w:w="537"/>
        <w:gridCol w:w="1225"/>
        <w:gridCol w:w="1225"/>
        <w:gridCol w:w="1225"/>
        <w:gridCol w:w="1225"/>
        <w:gridCol w:w="1167"/>
        <w:gridCol w:w="1225"/>
        <w:gridCol w:w="1225"/>
        <w:gridCol w:w="1225"/>
        <w:gridCol w:w="1225"/>
      </w:tblGrid>
      <w:tr w:rsidR="00163E7E" w:rsidRPr="0069103E" w:rsidTr="00C07105">
        <w:trPr>
          <w:trHeight w:val="334"/>
        </w:trPr>
        <w:tc>
          <w:tcPr>
            <w:tcW w:w="2972" w:type="dxa"/>
            <w:vMerge w:val="restart"/>
            <w:tcBorders>
              <w:top w:val="single" w:sz="4" w:space="0" w:color="7030A0"/>
              <w:left w:val="single" w:sz="4" w:space="0" w:color="7030A0"/>
              <w:bottom w:val="single" w:sz="4" w:space="0" w:color="FFFFFF" w:themeColor="background1"/>
              <w:right w:val="single" w:sz="4" w:space="0" w:color="FFFFFF" w:themeColor="background1"/>
            </w:tcBorders>
            <w:shd w:val="clear" w:color="auto" w:fill="7030A0"/>
            <w:noWrap/>
            <w:vAlign w:val="center"/>
            <w:hideMark/>
          </w:tcPr>
          <w:p w:rsidR="00163E7E" w:rsidRPr="0069103E" w:rsidRDefault="00163E7E" w:rsidP="00C07105">
            <w:pPr>
              <w:spacing w:after="0" w:line="240" w:lineRule="auto"/>
              <w:rPr>
                <w:rFonts w:eastAsia="Times New Roman" w:cs="Arial"/>
                <w:b/>
                <w:color w:val="FFFFFF" w:themeColor="background1"/>
                <w:sz w:val="18"/>
                <w:szCs w:val="18"/>
                <w:lang w:eastAsia="en-AU"/>
              </w:rPr>
            </w:pPr>
            <w:r w:rsidRPr="0069103E">
              <w:rPr>
                <w:rFonts w:eastAsia="Times New Roman" w:cs="Arial"/>
                <w:b/>
                <w:color w:val="FFFFFF" w:themeColor="background1"/>
                <w:sz w:val="18"/>
                <w:szCs w:val="18"/>
                <w:lang w:eastAsia="en-AU"/>
              </w:rPr>
              <w:t>Building type / design category</w:t>
            </w:r>
          </w:p>
        </w:tc>
        <w:tc>
          <w:tcPr>
            <w:tcW w:w="537" w:type="dxa"/>
            <w:vMerge w:val="restart"/>
            <w:tcBorders>
              <w:top w:val="single" w:sz="4" w:space="0" w:color="7030A0"/>
              <w:left w:val="single" w:sz="4" w:space="0" w:color="FFFFFF" w:themeColor="background1"/>
              <w:bottom w:val="single" w:sz="4" w:space="0" w:color="FFFFFF" w:themeColor="background1"/>
              <w:right w:val="single" w:sz="4" w:space="0" w:color="FFFFFF" w:themeColor="background1"/>
            </w:tcBorders>
            <w:shd w:val="clear" w:color="auto" w:fill="7030A0"/>
            <w:vAlign w:val="center"/>
          </w:tcPr>
          <w:p w:rsidR="00163E7E" w:rsidRPr="0069103E" w:rsidRDefault="00163E7E" w:rsidP="00C07105">
            <w:pPr>
              <w:spacing w:after="0" w:line="240" w:lineRule="auto"/>
              <w:jc w:val="center"/>
              <w:rPr>
                <w:rFonts w:eastAsia="Times New Roman" w:cs="Arial"/>
                <w:b/>
                <w:color w:val="FFFFFF" w:themeColor="background1"/>
                <w:sz w:val="18"/>
                <w:szCs w:val="18"/>
                <w:lang w:eastAsia="en-AU"/>
              </w:rPr>
            </w:pPr>
            <w:r w:rsidRPr="0069103E">
              <w:rPr>
                <w:rFonts w:eastAsia="Times New Roman" w:cs="Arial"/>
                <w:b/>
                <w:color w:val="FFFFFF" w:themeColor="background1"/>
                <w:sz w:val="18"/>
                <w:szCs w:val="18"/>
                <w:lang w:eastAsia="en-AU"/>
              </w:rPr>
              <w:t>Basic</w:t>
            </w:r>
          </w:p>
        </w:tc>
        <w:tc>
          <w:tcPr>
            <w:tcW w:w="2450" w:type="dxa"/>
            <w:gridSpan w:val="2"/>
            <w:tcBorders>
              <w:top w:val="single" w:sz="4" w:space="0" w:color="7030A0"/>
              <w:left w:val="single" w:sz="4" w:space="0" w:color="FFFFFF" w:themeColor="background1"/>
              <w:bottom w:val="single" w:sz="4" w:space="0" w:color="FFFFFF" w:themeColor="background1"/>
              <w:right w:val="single" w:sz="4" w:space="0" w:color="FFFFFF" w:themeColor="background1"/>
            </w:tcBorders>
            <w:shd w:val="clear" w:color="auto" w:fill="7030A0"/>
            <w:noWrap/>
            <w:vAlign w:val="center"/>
            <w:hideMark/>
          </w:tcPr>
          <w:p w:rsidR="00163E7E" w:rsidRPr="0069103E" w:rsidRDefault="00163E7E" w:rsidP="00C07105">
            <w:pPr>
              <w:spacing w:after="0" w:line="240" w:lineRule="auto"/>
              <w:jc w:val="center"/>
              <w:rPr>
                <w:rFonts w:eastAsia="Times New Roman" w:cs="Arial"/>
                <w:b/>
                <w:color w:val="FFFFFF" w:themeColor="background1"/>
                <w:sz w:val="18"/>
                <w:szCs w:val="18"/>
                <w:lang w:eastAsia="en-AU"/>
              </w:rPr>
            </w:pPr>
            <w:r w:rsidRPr="0069103E">
              <w:rPr>
                <w:rFonts w:eastAsia="Times New Roman" w:cs="Arial"/>
                <w:b/>
                <w:color w:val="FFFFFF" w:themeColor="background1"/>
                <w:sz w:val="18"/>
                <w:szCs w:val="18"/>
                <w:lang w:eastAsia="en-AU"/>
              </w:rPr>
              <w:t>Improved Liv</w:t>
            </w:r>
            <w:r w:rsidR="002C59FD">
              <w:rPr>
                <w:rFonts w:eastAsia="Times New Roman" w:cs="Arial"/>
                <w:b/>
                <w:color w:val="FFFFFF" w:themeColor="background1"/>
                <w:sz w:val="18"/>
                <w:szCs w:val="18"/>
                <w:lang w:eastAsia="en-AU"/>
              </w:rPr>
              <w:t>e</w:t>
            </w:r>
            <w:r w:rsidRPr="0069103E">
              <w:rPr>
                <w:rFonts w:eastAsia="Times New Roman" w:cs="Arial"/>
                <w:b/>
                <w:color w:val="FFFFFF" w:themeColor="background1"/>
                <w:sz w:val="18"/>
                <w:szCs w:val="18"/>
                <w:lang w:eastAsia="en-AU"/>
              </w:rPr>
              <w:t>ability</w:t>
            </w:r>
          </w:p>
        </w:tc>
        <w:tc>
          <w:tcPr>
            <w:tcW w:w="2450" w:type="dxa"/>
            <w:gridSpan w:val="2"/>
            <w:tcBorders>
              <w:top w:val="single" w:sz="4" w:space="0" w:color="7030A0"/>
              <w:left w:val="single" w:sz="4" w:space="0" w:color="FFFFFF" w:themeColor="background1"/>
              <w:bottom w:val="single" w:sz="4" w:space="0" w:color="FFFFFF" w:themeColor="background1"/>
              <w:right w:val="single" w:sz="4" w:space="0" w:color="FFFFFF" w:themeColor="background1"/>
            </w:tcBorders>
            <w:shd w:val="clear" w:color="auto" w:fill="7030A0"/>
            <w:noWrap/>
            <w:vAlign w:val="center"/>
            <w:hideMark/>
          </w:tcPr>
          <w:p w:rsidR="00163E7E" w:rsidRPr="0069103E" w:rsidRDefault="00163E7E" w:rsidP="00C07105">
            <w:pPr>
              <w:spacing w:after="0" w:line="240" w:lineRule="auto"/>
              <w:jc w:val="center"/>
              <w:rPr>
                <w:rFonts w:eastAsia="Times New Roman" w:cs="Arial"/>
                <w:b/>
                <w:color w:val="FFFFFF" w:themeColor="background1"/>
                <w:sz w:val="18"/>
                <w:szCs w:val="18"/>
                <w:lang w:eastAsia="en-AU"/>
              </w:rPr>
            </w:pPr>
            <w:r w:rsidRPr="0069103E">
              <w:rPr>
                <w:rFonts w:eastAsia="Times New Roman" w:cs="Arial"/>
                <w:b/>
                <w:color w:val="FFFFFF" w:themeColor="background1"/>
                <w:sz w:val="18"/>
                <w:szCs w:val="18"/>
                <w:lang w:eastAsia="en-AU"/>
              </w:rPr>
              <w:t>Fully Accessible</w:t>
            </w:r>
          </w:p>
        </w:tc>
        <w:tc>
          <w:tcPr>
            <w:tcW w:w="3617" w:type="dxa"/>
            <w:gridSpan w:val="3"/>
            <w:tcBorders>
              <w:top w:val="single" w:sz="4" w:space="0" w:color="7030A0"/>
              <w:left w:val="single" w:sz="4" w:space="0" w:color="FFFFFF" w:themeColor="background1"/>
              <w:bottom w:val="single" w:sz="4" w:space="0" w:color="FFFFFF" w:themeColor="background1"/>
              <w:right w:val="single" w:sz="4" w:space="0" w:color="FFFFFF" w:themeColor="background1"/>
            </w:tcBorders>
            <w:shd w:val="clear" w:color="auto" w:fill="7030A0"/>
            <w:noWrap/>
            <w:vAlign w:val="center"/>
            <w:hideMark/>
          </w:tcPr>
          <w:p w:rsidR="00163E7E" w:rsidRPr="0069103E" w:rsidRDefault="00163E7E" w:rsidP="00C07105">
            <w:pPr>
              <w:spacing w:after="0" w:line="240" w:lineRule="auto"/>
              <w:jc w:val="center"/>
              <w:rPr>
                <w:rFonts w:eastAsia="Times New Roman" w:cs="Arial"/>
                <w:b/>
                <w:color w:val="FFFFFF" w:themeColor="background1"/>
                <w:sz w:val="18"/>
                <w:szCs w:val="18"/>
                <w:lang w:eastAsia="en-AU"/>
              </w:rPr>
            </w:pPr>
            <w:r w:rsidRPr="0069103E">
              <w:rPr>
                <w:rFonts w:eastAsia="Times New Roman" w:cs="Arial"/>
                <w:b/>
                <w:color w:val="FFFFFF" w:themeColor="background1"/>
                <w:sz w:val="18"/>
                <w:szCs w:val="18"/>
                <w:lang w:eastAsia="en-AU"/>
              </w:rPr>
              <w:t>Robust</w:t>
            </w:r>
          </w:p>
        </w:tc>
        <w:tc>
          <w:tcPr>
            <w:tcW w:w="2450" w:type="dxa"/>
            <w:gridSpan w:val="2"/>
            <w:tcBorders>
              <w:top w:val="single" w:sz="4" w:space="0" w:color="7030A0"/>
              <w:left w:val="single" w:sz="4" w:space="0" w:color="FFFFFF" w:themeColor="background1"/>
              <w:bottom w:val="single" w:sz="4" w:space="0" w:color="FFFFFF" w:themeColor="background1"/>
              <w:right w:val="single" w:sz="4" w:space="0" w:color="7030A0"/>
            </w:tcBorders>
            <w:shd w:val="clear" w:color="auto" w:fill="7030A0"/>
            <w:noWrap/>
            <w:vAlign w:val="center"/>
            <w:hideMark/>
          </w:tcPr>
          <w:p w:rsidR="00163E7E" w:rsidRPr="0069103E" w:rsidRDefault="00163E7E" w:rsidP="00C07105">
            <w:pPr>
              <w:spacing w:after="0" w:line="240" w:lineRule="auto"/>
              <w:jc w:val="center"/>
              <w:rPr>
                <w:rFonts w:eastAsia="Times New Roman" w:cs="Arial"/>
                <w:b/>
                <w:color w:val="FFFFFF" w:themeColor="background1"/>
                <w:sz w:val="18"/>
                <w:szCs w:val="18"/>
                <w:lang w:eastAsia="en-AU"/>
              </w:rPr>
            </w:pPr>
            <w:r w:rsidRPr="0069103E">
              <w:rPr>
                <w:rFonts w:eastAsia="Times New Roman" w:cs="Arial"/>
                <w:b/>
                <w:color w:val="FFFFFF" w:themeColor="background1"/>
                <w:sz w:val="18"/>
                <w:szCs w:val="18"/>
                <w:lang w:eastAsia="en-AU"/>
              </w:rPr>
              <w:t>High Physical Support</w:t>
            </w:r>
          </w:p>
        </w:tc>
      </w:tr>
      <w:tr w:rsidR="00163E7E" w:rsidRPr="0069103E" w:rsidTr="00C07105">
        <w:trPr>
          <w:trHeight w:val="334"/>
        </w:trPr>
        <w:tc>
          <w:tcPr>
            <w:tcW w:w="2972" w:type="dxa"/>
            <w:vMerge/>
            <w:tcBorders>
              <w:top w:val="single" w:sz="4" w:space="0" w:color="FFFFFF" w:themeColor="background1"/>
              <w:left w:val="single" w:sz="4" w:space="0" w:color="7030A0"/>
              <w:bottom w:val="single" w:sz="4" w:space="0" w:color="7030A0"/>
              <w:right w:val="single" w:sz="4" w:space="0" w:color="FFFFFF" w:themeColor="background1"/>
            </w:tcBorders>
            <w:shd w:val="clear" w:color="auto" w:fill="auto"/>
            <w:noWrap/>
            <w:vAlign w:val="bottom"/>
            <w:hideMark/>
          </w:tcPr>
          <w:p w:rsidR="00163E7E" w:rsidRPr="0069103E" w:rsidRDefault="00163E7E" w:rsidP="00C07105">
            <w:pPr>
              <w:spacing w:after="0" w:line="240" w:lineRule="auto"/>
              <w:rPr>
                <w:rFonts w:eastAsia="Times New Roman" w:cs="Arial"/>
                <w:color w:val="000000"/>
                <w:sz w:val="18"/>
                <w:szCs w:val="18"/>
                <w:lang w:eastAsia="en-AU"/>
              </w:rPr>
            </w:pPr>
          </w:p>
        </w:tc>
        <w:tc>
          <w:tcPr>
            <w:tcW w:w="537" w:type="dxa"/>
            <w:vMerge/>
            <w:tcBorders>
              <w:top w:val="single" w:sz="4" w:space="0" w:color="FFFFFF" w:themeColor="background1"/>
              <w:left w:val="single" w:sz="4" w:space="0" w:color="FFFFFF" w:themeColor="background1"/>
              <w:bottom w:val="single" w:sz="4" w:space="0" w:color="7030A0"/>
              <w:right w:val="single" w:sz="4" w:space="0" w:color="FFFFFF" w:themeColor="background1"/>
            </w:tcBorders>
            <w:vAlign w:val="center"/>
          </w:tcPr>
          <w:p w:rsidR="00163E7E" w:rsidRPr="0069103E" w:rsidRDefault="00163E7E" w:rsidP="00C07105">
            <w:pPr>
              <w:spacing w:after="0" w:line="240" w:lineRule="auto"/>
              <w:jc w:val="center"/>
              <w:rPr>
                <w:rFonts w:eastAsia="Times New Roman" w:cs="Arial"/>
                <w:color w:val="000000"/>
                <w:sz w:val="18"/>
                <w:szCs w:val="18"/>
                <w:lang w:eastAsia="en-AU"/>
              </w:rPr>
            </w:pPr>
          </w:p>
        </w:tc>
        <w:tc>
          <w:tcPr>
            <w:tcW w:w="1225"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163E7E" w:rsidRPr="0069103E" w:rsidRDefault="00163E7E" w:rsidP="00C07105">
            <w:pPr>
              <w:spacing w:after="0" w:line="240" w:lineRule="auto"/>
              <w:jc w:val="center"/>
              <w:rPr>
                <w:rFonts w:eastAsia="Times New Roman" w:cs="Arial"/>
                <w:b/>
                <w:color w:val="FFFFFF" w:themeColor="background1"/>
                <w:sz w:val="18"/>
                <w:szCs w:val="18"/>
                <w:lang w:eastAsia="en-AU"/>
              </w:rPr>
            </w:pPr>
            <w:r w:rsidRPr="0069103E">
              <w:rPr>
                <w:rFonts w:eastAsia="Times New Roman" w:cs="Arial"/>
                <w:b/>
                <w:color w:val="FFFFFF" w:themeColor="background1"/>
                <w:sz w:val="18"/>
                <w:szCs w:val="18"/>
                <w:lang w:eastAsia="en-AU"/>
              </w:rPr>
              <w:t>No OOA</w:t>
            </w:r>
          </w:p>
        </w:tc>
        <w:tc>
          <w:tcPr>
            <w:tcW w:w="1225"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163E7E" w:rsidRPr="0069103E" w:rsidRDefault="00163E7E" w:rsidP="00C07105">
            <w:pPr>
              <w:spacing w:after="0" w:line="240" w:lineRule="auto"/>
              <w:jc w:val="center"/>
              <w:rPr>
                <w:rFonts w:eastAsia="Times New Roman" w:cs="Arial"/>
                <w:b/>
                <w:color w:val="FFFFFF" w:themeColor="background1"/>
                <w:sz w:val="18"/>
                <w:szCs w:val="18"/>
                <w:lang w:eastAsia="en-AU"/>
              </w:rPr>
            </w:pPr>
            <w:r w:rsidRPr="0069103E">
              <w:rPr>
                <w:rFonts w:eastAsia="Times New Roman" w:cs="Arial"/>
                <w:b/>
                <w:color w:val="FFFFFF" w:themeColor="background1"/>
                <w:sz w:val="18"/>
                <w:szCs w:val="18"/>
                <w:lang w:eastAsia="en-AU"/>
              </w:rPr>
              <w:t>With OOA</w:t>
            </w:r>
          </w:p>
        </w:tc>
        <w:tc>
          <w:tcPr>
            <w:tcW w:w="1225"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163E7E" w:rsidRPr="0069103E" w:rsidRDefault="00163E7E" w:rsidP="00C07105">
            <w:pPr>
              <w:spacing w:after="0" w:line="240" w:lineRule="auto"/>
              <w:jc w:val="center"/>
              <w:rPr>
                <w:rFonts w:eastAsia="Times New Roman" w:cs="Arial"/>
                <w:b/>
                <w:color w:val="FFFFFF" w:themeColor="background1"/>
                <w:sz w:val="18"/>
                <w:szCs w:val="18"/>
                <w:lang w:eastAsia="en-AU"/>
              </w:rPr>
            </w:pPr>
            <w:r w:rsidRPr="0069103E">
              <w:rPr>
                <w:rFonts w:eastAsia="Times New Roman" w:cs="Arial"/>
                <w:b/>
                <w:color w:val="FFFFFF" w:themeColor="background1"/>
                <w:sz w:val="18"/>
                <w:szCs w:val="18"/>
                <w:lang w:eastAsia="en-AU"/>
              </w:rPr>
              <w:t>No OOA</w:t>
            </w:r>
          </w:p>
        </w:tc>
        <w:tc>
          <w:tcPr>
            <w:tcW w:w="1225"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163E7E" w:rsidRPr="0069103E" w:rsidRDefault="00163E7E" w:rsidP="00C07105">
            <w:pPr>
              <w:spacing w:after="0" w:line="240" w:lineRule="auto"/>
              <w:jc w:val="center"/>
              <w:rPr>
                <w:rFonts w:eastAsia="Times New Roman" w:cs="Arial"/>
                <w:b/>
                <w:color w:val="FFFFFF" w:themeColor="background1"/>
                <w:sz w:val="18"/>
                <w:szCs w:val="18"/>
                <w:lang w:eastAsia="en-AU"/>
              </w:rPr>
            </w:pPr>
            <w:r w:rsidRPr="0069103E">
              <w:rPr>
                <w:rFonts w:eastAsia="Times New Roman" w:cs="Arial"/>
                <w:b/>
                <w:color w:val="FFFFFF" w:themeColor="background1"/>
                <w:sz w:val="18"/>
                <w:szCs w:val="18"/>
                <w:lang w:eastAsia="en-AU"/>
              </w:rPr>
              <w:t>With OOA</w:t>
            </w:r>
          </w:p>
        </w:tc>
        <w:tc>
          <w:tcPr>
            <w:tcW w:w="1167"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163E7E" w:rsidRPr="0069103E" w:rsidRDefault="00163E7E" w:rsidP="00C07105">
            <w:pPr>
              <w:spacing w:after="0" w:line="240" w:lineRule="auto"/>
              <w:jc w:val="center"/>
              <w:rPr>
                <w:rFonts w:eastAsia="Times New Roman" w:cs="Arial"/>
                <w:b/>
                <w:color w:val="FFFFFF" w:themeColor="background1"/>
                <w:sz w:val="18"/>
                <w:szCs w:val="18"/>
                <w:lang w:eastAsia="en-AU"/>
              </w:rPr>
            </w:pPr>
            <w:r w:rsidRPr="0069103E">
              <w:rPr>
                <w:rFonts w:eastAsia="Times New Roman" w:cs="Arial"/>
                <w:b/>
                <w:color w:val="FFFFFF" w:themeColor="background1"/>
                <w:sz w:val="18"/>
                <w:szCs w:val="18"/>
                <w:lang w:eastAsia="en-AU"/>
              </w:rPr>
              <w:t>No OOA</w:t>
            </w:r>
          </w:p>
        </w:tc>
        <w:tc>
          <w:tcPr>
            <w:tcW w:w="1225"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163E7E" w:rsidRPr="0069103E" w:rsidRDefault="00163E7E" w:rsidP="00C07105">
            <w:pPr>
              <w:spacing w:after="0" w:line="240" w:lineRule="auto"/>
              <w:jc w:val="center"/>
              <w:rPr>
                <w:rFonts w:eastAsia="Times New Roman" w:cs="Arial"/>
                <w:b/>
                <w:color w:val="FFFFFF" w:themeColor="background1"/>
                <w:sz w:val="18"/>
                <w:szCs w:val="18"/>
                <w:lang w:eastAsia="en-AU"/>
              </w:rPr>
            </w:pPr>
            <w:r w:rsidRPr="0069103E">
              <w:rPr>
                <w:rFonts w:eastAsia="Times New Roman" w:cs="Arial"/>
                <w:b/>
                <w:color w:val="FFFFFF" w:themeColor="background1"/>
                <w:sz w:val="18"/>
                <w:szCs w:val="18"/>
                <w:lang w:eastAsia="en-AU"/>
              </w:rPr>
              <w:t>With OOA</w:t>
            </w:r>
          </w:p>
        </w:tc>
        <w:tc>
          <w:tcPr>
            <w:tcW w:w="1225"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163E7E" w:rsidRPr="0069103E" w:rsidRDefault="00163E7E" w:rsidP="00C07105">
            <w:pPr>
              <w:spacing w:after="0" w:line="240" w:lineRule="auto"/>
              <w:jc w:val="center"/>
              <w:rPr>
                <w:rFonts w:eastAsia="Times New Roman" w:cs="Arial"/>
                <w:b/>
                <w:color w:val="FFFFFF" w:themeColor="background1"/>
                <w:sz w:val="18"/>
                <w:szCs w:val="18"/>
                <w:lang w:eastAsia="en-AU"/>
              </w:rPr>
            </w:pPr>
            <w:r w:rsidRPr="0069103E">
              <w:rPr>
                <w:rFonts w:eastAsia="Times New Roman" w:cs="Arial"/>
                <w:b/>
                <w:color w:val="FFFFFF" w:themeColor="background1"/>
                <w:sz w:val="18"/>
                <w:szCs w:val="18"/>
                <w:lang w:eastAsia="en-AU"/>
              </w:rPr>
              <w:t>+1 Room</w:t>
            </w:r>
          </w:p>
        </w:tc>
        <w:tc>
          <w:tcPr>
            <w:tcW w:w="1225"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163E7E" w:rsidRPr="0069103E" w:rsidRDefault="00163E7E" w:rsidP="00C07105">
            <w:pPr>
              <w:spacing w:after="0" w:line="240" w:lineRule="auto"/>
              <w:jc w:val="center"/>
              <w:rPr>
                <w:rFonts w:eastAsia="Times New Roman" w:cs="Arial"/>
                <w:b/>
                <w:color w:val="FFFFFF" w:themeColor="background1"/>
                <w:sz w:val="18"/>
                <w:szCs w:val="18"/>
                <w:lang w:eastAsia="en-AU"/>
              </w:rPr>
            </w:pPr>
            <w:r w:rsidRPr="0069103E">
              <w:rPr>
                <w:rFonts w:eastAsia="Times New Roman" w:cs="Arial"/>
                <w:b/>
                <w:color w:val="FFFFFF" w:themeColor="background1"/>
                <w:sz w:val="18"/>
                <w:szCs w:val="18"/>
                <w:lang w:eastAsia="en-AU"/>
              </w:rPr>
              <w:t>No OOA</w:t>
            </w:r>
          </w:p>
        </w:tc>
        <w:tc>
          <w:tcPr>
            <w:tcW w:w="1225" w:type="dxa"/>
            <w:tcBorders>
              <w:top w:val="single" w:sz="4" w:space="0" w:color="FFFFFF" w:themeColor="background1"/>
              <w:left w:val="single" w:sz="4" w:space="0" w:color="FFFFFF" w:themeColor="background1"/>
              <w:bottom w:val="single" w:sz="4" w:space="0" w:color="7030A0"/>
              <w:right w:val="single" w:sz="4" w:space="0" w:color="7030A0"/>
            </w:tcBorders>
            <w:shd w:val="clear" w:color="auto" w:fill="7030A0"/>
            <w:noWrap/>
            <w:vAlign w:val="center"/>
            <w:hideMark/>
          </w:tcPr>
          <w:p w:rsidR="00163E7E" w:rsidRPr="0069103E" w:rsidRDefault="00163E7E" w:rsidP="00C07105">
            <w:pPr>
              <w:spacing w:after="0" w:line="240" w:lineRule="auto"/>
              <w:jc w:val="center"/>
              <w:rPr>
                <w:rFonts w:eastAsia="Times New Roman" w:cs="Arial"/>
                <w:b/>
                <w:color w:val="FFFFFF" w:themeColor="background1"/>
                <w:sz w:val="18"/>
                <w:szCs w:val="18"/>
                <w:lang w:eastAsia="en-AU"/>
              </w:rPr>
            </w:pPr>
            <w:r w:rsidRPr="0069103E">
              <w:rPr>
                <w:rFonts w:eastAsia="Times New Roman" w:cs="Arial"/>
                <w:b/>
                <w:color w:val="FFFFFF" w:themeColor="background1"/>
                <w:sz w:val="18"/>
                <w:szCs w:val="18"/>
                <w:lang w:eastAsia="en-AU"/>
              </w:rPr>
              <w:t>With OOA</w:t>
            </w:r>
          </w:p>
        </w:tc>
      </w:tr>
      <w:tr w:rsidR="00163E7E" w:rsidRPr="0069103E" w:rsidTr="00C07105">
        <w:trPr>
          <w:trHeight w:val="334"/>
        </w:trPr>
        <w:tc>
          <w:tcPr>
            <w:tcW w:w="2972" w:type="dxa"/>
            <w:tcBorders>
              <w:top w:val="single" w:sz="4" w:space="0" w:color="7030A0"/>
              <w:left w:val="single" w:sz="4" w:space="0" w:color="7030A0"/>
              <w:bottom w:val="single" w:sz="4" w:space="0" w:color="7030A0"/>
            </w:tcBorders>
            <w:shd w:val="clear" w:color="auto" w:fill="auto"/>
            <w:noWrap/>
            <w:vAlign w:val="center"/>
          </w:tcPr>
          <w:p w:rsidR="00163E7E" w:rsidRPr="007B7D09" w:rsidRDefault="00163E7E" w:rsidP="00C07105">
            <w:pPr>
              <w:spacing w:after="0" w:line="240" w:lineRule="auto"/>
              <w:rPr>
                <w:rFonts w:eastAsia="Times New Roman" w:cs="Arial"/>
                <w:color w:val="000000"/>
                <w:sz w:val="18"/>
                <w:szCs w:val="18"/>
                <w:lang w:eastAsia="en-AU"/>
              </w:rPr>
            </w:pPr>
            <w:r w:rsidRPr="007B7D09">
              <w:rPr>
                <w:rFonts w:eastAsia="Times New Roman" w:cs="Arial"/>
                <w:color w:val="000000"/>
                <w:sz w:val="18"/>
                <w:szCs w:val="18"/>
                <w:lang w:eastAsia="en-AU"/>
              </w:rPr>
              <w:t>Apartment, 1 bedroom, 1 resident</w:t>
            </w:r>
          </w:p>
        </w:tc>
        <w:tc>
          <w:tcPr>
            <w:tcW w:w="537" w:type="dxa"/>
            <w:tcBorders>
              <w:top w:val="single" w:sz="4" w:space="0" w:color="7030A0"/>
              <w:bottom w:val="single" w:sz="4" w:space="0" w:color="7030A0"/>
            </w:tcBorders>
            <w:vAlign w:val="center"/>
          </w:tcPr>
          <w:p w:rsidR="00163E7E" w:rsidRPr="004C01F6" w:rsidRDefault="00163E7E" w:rsidP="00C07105">
            <w:pPr>
              <w:spacing w:after="0"/>
              <w:jc w:val="center"/>
              <w:rPr>
                <w:rFonts w:cs="Arial"/>
                <w:sz w:val="18"/>
                <w:szCs w:val="18"/>
              </w:rPr>
            </w:pPr>
            <w:r w:rsidRPr="004C01F6">
              <w:rPr>
                <w:rFonts w:cs="Arial"/>
                <w:sz w:val="18"/>
                <w:szCs w:val="18"/>
              </w:rPr>
              <w:t>na</w:t>
            </w:r>
          </w:p>
        </w:tc>
        <w:tc>
          <w:tcPr>
            <w:tcW w:w="1225" w:type="dxa"/>
            <w:tcBorders>
              <w:top w:val="single" w:sz="4" w:space="0" w:color="7030A0"/>
              <w:bottom w:val="single" w:sz="4" w:space="0" w:color="7030A0"/>
            </w:tcBorders>
            <w:shd w:val="clear" w:color="auto" w:fill="auto"/>
            <w:noWrap/>
            <w:vAlign w:val="center"/>
          </w:tcPr>
          <w:p w:rsidR="00163E7E" w:rsidRPr="007B7D09" w:rsidRDefault="00163E7E" w:rsidP="00C07105">
            <w:pPr>
              <w:spacing w:after="0" w:line="240" w:lineRule="auto"/>
              <w:jc w:val="center"/>
              <w:rPr>
                <w:rFonts w:eastAsia="Times New Roman" w:cs="Arial"/>
                <w:color w:val="000000"/>
                <w:sz w:val="18"/>
                <w:szCs w:val="18"/>
                <w:lang w:eastAsia="en-AU"/>
              </w:rPr>
            </w:pPr>
            <w:r w:rsidRPr="0069103E">
              <w:rPr>
                <w:rFonts w:cs="Arial"/>
                <w:color w:val="000000"/>
                <w:sz w:val="18"/>
                <w:szCs w:val="18"/>
              </w:rPr>
              <w:t>$190,000</w:t>
            </w:r>
          </w:p>
        </w:tc>
        <w:tc>
          <w:tcPr>
            <w:tcW w:w="1225" w:type="dxa"/>
            <w:tcBorders>
              <w:top w:val="single" w:sz="4" w:space="0" w:color="7030A0"/>
              <w:bottom w:val="single" w:sz="4" w:space="0" w:color="7030A0"/>
            </w:tcBorders>
            <w:shd w:val="clear" w:color="auto" w:fill="auto"/>
            <w:noWrap/>
            <w:vAlign w:val="center"/>
          </w:tcPr>
          <w:p w:rsidR="00163E7E" w:rsidRPr="007B7D09" w:rsidRDefault="00163E7E" w:rsidP="00C07105">
            <w:pPr>
              <w:spacing w:after="0"/>
              <w:jc w:val="center"/>
              <w:rPr>
                <w:rFonts w:cs="Arial"/>
                <w:color w:val="000000"/>
                <w:sz w:val="18"/>
                <w:szCs w:val="18"/>
              </w:rPr>
            </w:pPr>
            <w:r w:rsidRPr="0069103E">
              <w:rPr>
                <w:rFonts w:cs="Arial"/>
                <w:color w:val="000000"/>
                <w:sz w:val="18"/>
                <w:szCs w:val="18"/>
              </w:rPr>
              <w:t>na</w:t>
            </w:r>
          </w:p>
        </w:tc>
        <w:tc>
          <w:tcPr>
            <w:tcW w:w="1225" w:type="dxa"/>
            <w:tcBorders>
              <w:top w:val="single" w:sz="4" w:space="0" w:color="7030A0"/>
              <w:bottom w:val="single" w:sz="4" w:space="0" w:color="7030A0"/>
            </w:tcBorders>
            <w:shd w:val="clear" w:color="auto" w:fill="auto"/>
            <w:noWrap/>
            <w:vAlign w:val="center"/>
          </w:tcPr>
          <w:p w:rsidR="00163E7E" w:rsidRPr="007B7D09" w:rsidRDefault="00163E7E" w:rsidP="00C07105">
            <w:pPr>
              <w:spacing w:after="0"/>
              <w:jc w:val="center"/>
              <w:rPr>
                <w:rFonts w:cs="Arial"/>
                <w:color w:val="000000"/>
                <w:sz w:val="18"/>
                <w:szCs w:val="18"/>
              </w:rPr>
            </w:pPr>
            <w:r w:rsidRPr="0069103E">
              <w:rPr>
                <w:rFonts w:cs="Arial"/>
                <w:color w:val="000000"/>
                <w:sz w:val="18"/>
                <w:szCs w:val="18"/>
              </w:rPr>
              <w:t>$290,000</w:t>
            </w:r>
          </w:p>
        </w:tc>
        <w:tc>
          <w:tcPr>
            <w:tcW w:w="1225" w:type="dxa"/>
            <w:tcBorders>
              <w:top w:val="single" w:sz="4" w:space="0" w:color="7030A0"/>
              <w:bottom w:val="single" w:sz="4" w:space="0" w:color="7030A0"/>
            </w:tcBorders>
            <w:shd w:val="clear" w:color="auto" w:fill="auto"/>
            <w:noWrap/>
            <w:vAlign w:val="center"/>
          </w:tcPr>
          <w:p w:rsidR="00163E7E" w:rsidRPr="007B7D09" w:rsidRDefault="00163E7E" w:rsidP="00C07105">
            <w:pPr>
              <w:spacing w:after="0"/>
              <w:jc w:val="center"/>
              <w:rPr>
                <w:rFonts w:cs="Arial"/>
                <w:color w:val="000000"/>
                <w:sz w:val="18"/>
                <w:szCs w:val="18"/>
              </w:rPr>
            </w:pPr>
            <w:r w:rsidRPr="0069103E">
              <w:rPr>
                <w:rFonts w:cs="Arial"/>
                <w:color w:val="000000"/>
                <w:sz w:val="18"/>
                <w:szCs w:val="18"/>
              </w:rPr>
              <w:t>na</w:t>
            </w:r>
          </w:p>
        </w:tc>
        <w:tc>
          <w:tcPr>
            <w:tcW w:w="1167" w:type="dxa"/>
            <w:tcBorders>
              <w:top w:val="single" w:sz="4" w:space="0" w:color="7030A0"/>
              <w:bottom w:val="single" w:sz="4" w:space="0" w:color="7030A0"/>
            </w:tcBorders>
            <w:shd w:val="clear" w:color="auto" w:fill="auto"/>
            <w:noWrap/>
            <w:vAlign w:val="center"/>
          </w:tcPr>
          <w:p w:rsidR="00163E7E" w:rsidRPr="007B7D09" w:rsidRDefault="00163E7E" w:rsidP="00C07105">
            <w:pPr>
              <w:spacing w:after="0"/>
              <w:jc w:val="center"/>
              <w:rPr>
                <w:rFonts w:cs="Arial"/>
                <w:color w:val="000000"/>
                <w:sz w:val="18"/>
                <w:szCs w:val="18"/>
              </w:rPr>
            </w:pPr>
            <w:r w:rsidRPr="0069103E">
              <w:rPr>
                <w:rFonts w:cs="Arial"/>
                <w:color w:val="000000"/>
                <w:sz w:val="18"/>
                <w:szCs w:val="18"/>
              </w:rPr>
              <w:t>na</w:t>
            </w:r>
          </w:p>
        </w:tc>
        <w:tc>
          <w:tcPr>
            <w:tcW w:w="1225" w:type="dxa"/>
            <w:tcBorders>
              <w:top w:val="single" w:sz="4" w:space="0" w:color="7030A0"/>
              <w:bottom w:val="single" w:sz="4" w:space="0" w:color="7030A0"/>
            </w:tcBorders>
            <w:shd w:val="clear" w:color="auto" w:fill="auto"/>
            <w:noWrap/>
            <w:vAlign w:val="center"/>
          </w:tcPr>
          <w:p w:rsidR="00163E7E" w:rsidRPr="007B7D09" w:rsidRDefault="00163E7E" w:rsidP="00C07105">
            <w:pPr>
              <w:spacing w:after="0"/>
              <w:jc w:val="center"/>
              <w:rPr>
                <w:rFonts w:cs="Arial"/>
                <w:color w:val="000000"/>
                <w:sz w:val="18"/>
                <w:szCs w:val="18"/>
              </w:rPr>
            </w:pPr>
            <w:r w:rsidRPr="0069103E">
              <w:rPr>
                <w:rFonts w:cs="Arial"/>
                <w:color w:val="000000"/>
                <w:sz w:val="18"/>
                <w:szCs w:val="18"/>
              </w:rPr>
              <w:t>na</w:t>
            </w:r>
          </w:p>
        </w:tc>
        <w:tc>
          <w:tcPr>
            <w:tcW w:w="1225" w:type="dxa"/>
            <w:tcBorders>
              <w:top w:val="single" w:sz="4" w:space="0" w:color="7030A0"/>
              <w:bottom w:val="single" w:sz="4" w:space="0" w:color="7030A0"/>
            </w:tcBorders>
            <w:shd w:val="clear" w:color="auto" w:fill="auto"/>
            <w:noWrap/>
            <w:vAlign w:val="center"/>
          </w:tcPr>
          <w:p w:rsidR="00163E7E" w:rsidRPr="007B7D09" w:rsidRDefault="00163E7E" w:rsidP="00C07105">
            <w:pPr>
              <w:spacing w:after="0"/>
              <w:jc w:val="center"/>
              <w:rPr>
                <w:rFonts w:cs="Arial"/>
                <w:color w:val="000000"/>
                <w:sz w:val="18"/>
                <w:szCs w:val="18"/>
              </w:rPr>
            </w:pPr>
            <w:r w:rsidRPr="0069103E">
              <w:rPr>
                <w:rFonts w:cs="Arial"/>
                <w:color w:val="000000"/>
                <w:sz w:val="18"/>
                <w:szCs w:val="18"/>
              </w:rPr>
              <w:t>na</w:t>
            </w:r>
          </w:p>
        </w:tc>
        <w:tc>
          <w:tcPr>
            <w:tcW w:w="1225" w:type="dxa"/>
            <w:tcBorders>
              <w:top w:val="single" w:sz="4" w:space="0" w:color="7030A0"/>
              <w:bottom w:val="single" w:sz="4" w:space="0" w:color="7030A0"/>
            </w:tcBorders>
            <w:shd w:val="clear" w:color="auto" w:fill="auto"/>
            <w:noWrap/>
            <w:vAlign w:val="center"/>
          </w:tcPr>
          <w:p w:rsidR="00163E7E" w:rsidRPr="007B7D09" w:rsidRDefault="00163E7E" w:rsidP="00C07105">
            <w:pPr>
              <w:spacing w:after="0"/>
              <w:jc w:val="center"/>
              <w:rPr>
                <w:rFonts w:cs="Arial"/>
                <w:color w:val="000000"/>
                <w:sz w:val="18"/>
                <w:szCs w:val="18"/>
              </w:rPr>
            </w:pPr>
            <w:r w:rsidRPr="0069103E">
              <w:rPr>
                <w:rFonts w:cs="Arial"/>
                <w:color w:val="000000"/>
                <w:sz w:val="18"/>
                <w:szCs w:val="18"/>
              </w:rPr>
              <w:t>$420,000</w:t>
            </w:r>
          </w:p>
        </w:tc>
        <w:tc>
          <w:tcPr>
            <w:tcW w:w="1225" w:type="dxa"/>
            <w:tcBorders>
              <w:top w:val="single" w:sz="4" w:space="0" w:color="7030A0"/>
              <w:bottom w:val="single" w:sz="4" w:space="0" w:color="7030A0"/>
              <w:right w:val="single" w:sz="4" w:space="0" w:color="7030A0"/>
            </w:tcBorders>
            <w:shd w:val="clear" w:color="auto" w:fill="auto"/>
            <w:noWrap/>
            <w:vAlign w:val="center"/>
          </w:tcPr>
          <w:p w:rsidR="00163E7E" w:rsidRPr="007B7D09" w:rsidRDefault="00163E7E" w:rsidP="00C07105">
            <w:pPr>
              <w:spacing w:after="0"/>
              <w:jc w:val="center"/>
              <w:rPr>
                <w:rFonts w:cs="Arial"/>
                <w:color w:val="000000"/>
                <w:sz w:val="18"/>
                <w:szCs w:val="18"/>
              </w:rPr>
            </w:pPr>
            <w:r w:rsidRPr="0069103E">
              <w:rPr>
                <w:rFonts w:cs="Arial"/>
                <w:color w:val="000000"/>
                <w:sz w:val="18"/>
                <w:szCs w:val="18"/>
              </w:rPr>
              <w:t>na</w:t>
            </w:r>
          </w:p>
        </w:tc>
      </w:tr>
      <w:tr w:rsidR="00163E7E" w:rsidRPr="0069103E" w:rsidTr="00C07105">
        <w:trPr>
          <w:trHeight w:val="334"/>
        </w:trPr>
        <w:tc>
          <w:tcPr>
            <w:tcW w:w="2972" w:type="dxa"/>
            <w:tcBorders>
              <w:top w:val="single" w:sz="4" w:space="0" w:color="7030A0"/>
              <w:left w:val="single" w:sz="4" w:space="0" w:color="7030A0"/>
              <w:bottom w:val="single" w:sz="4" w:space="0" w:color="7030A0"/>
            </w:tcBorders>
            <w:shd w:val="clear" w:color="auto" w:fill="auto"/>
            <w:noWrap/>
            <w:vAlign w:val="center"/>
            <w:hideMark/>
          </w:tcPr>
          <w:p w:rsidR="00163E7E" w:rsidRPr="007B7D09" w:rsidRDefault="00163E7E" w:rsidP="00C07105">
            <w:pPr>
              <w:spacing w:after="0" w:line="240" w:lineRule="auto"/>
              <w:rPr>
                <w:rFonts w:eastAsia="Times New Roman" w:cs="Arial"/>
                <w:color w:val="000000"/>
                <w:sz w:val="18"/>
                <w:szCs w:val="18"/>
                <w:lang w:eastAsia="en-AU"/>
              </w:rPr>
            </w:pPr>
            <w:r w:rsidRPr="007B7D09">
              <w:rPr>
                <w:rFonts w:eastAsia="Times New Roman" w:cs="Arial"/>
                <w:color w:val="000000"/>
                <w:sz w:val="18"/>
                <w:szCs w:val="18"/>
                <w:lang w:eastAsia="en-AU"/>
              </w:rPr>
              <w:t>Apartment, 2 bedrooms, 1 resident</w:t>
            </w:r>
          </w:p>
        </w:tc>
        <w:tc>
          <w:tcPr>
            <w:tcW w:w="537" w:type="dxa"/>
            <w:tcBorders>
              <w:top w:val="single" w:sz="4" w:space="0" w:color="7030A0"/>
              <w:bottom w:val="single" w:sz="4" w:space="0" w:color="7030A0"/>
            </w:tcBorders>
            <w:vAlign w:val="center"/>
          </w:tcPr>
          <w:p w:rsidR="00163E7E" w:rsidRPr="004C01F6" w:rsidRDefault="00163E7E" w:rsidP="00C07105">
            <w:pPr>
              <w:spacing w:after="0"/>
              <w:jc w:val="center"/>
              <w:rPr>
                <w:rFonts w:cs="Arial"/>
                <w:sz w:val="18"/>
                <w:szCs w:val="18"/>
              </w:rPr>
            </w:pPr>
            <w:r w:rsidRPr="004C01F6">
              <w:rPr>
                <w:rFonts w:cs="Arial"/>
                <w:sz w:val="18"/>
                <w:szCs w:val="18"/>
              </w:rPr>
              <w:t>na</w:t>
            </w:r>
          </w:p>
        </w:tc>
        <w:tc>
          <w:tcPr>
            <w:tcW w:w="1225" w:type="dxa"/>
            <w:tcBorders>
              <w:top w:val="single" w:sz="4" w:space="0" w:color="7030A0"/>
              <w:bottom w:val="single" w:sz="4" w:space="0" w:color="7030A0"/>
            </w:tcBorders>
            <w:shd w:val="clear" w:color="auto" w:fill="auto"/>
            <w:noWrap/>
            <w:vAlign w:val="center"/>
          </w:tcPr>
          <w:p w:rsidR="00163E7E" w:rsidRPr="007B7D09" w:rsidRDefault="00163E7E" w:rsidP="00C07105">
            <w:pPr>
              <w:spacing w:after="0"/>
              <w:jc w:val="center"/>
              <w:rPr>
                <w:rFonts w:cs="Arial"/>
                <w:color w:val="000000"/>
                <w:sz w:val="18"/>
                <w:szCs w:val="18"/>
              </w:rPr>
            </w:pPr>
            <w:r w:rsidRPr="0069103E">
              <w:rPr>
                <w:rFonts w:cs="Arial"/>
                <w:color w:val="000000"/>
                <w:sz w:val="18"/>
                <w:szCs w:val="18"/>
              </w:rPr>
              <w:t>$230,000</w:t>
            </w:r>
          </w:p>
        </w:tc>
        <w:tc>
          <w:tcPr>
            <w:tcW w:w="1225" w:type="dxa"/>
            <w:tcBorders>
              <w:top w:val="single" w:sz="4" w:space="0" w:color="7030A0"/>
              <w:bottom w:val="single" w:sz="4" w:space="0" w:color="7030A0"/>
            </w:tcBorders>
            <w:shd w:val="clear" w:color="auto" w:fill="auto"/>
            <w:noWrap/>
            <w:vAlign w:val="center"/>
          </w:tcPr>
          <w:p w:rsidR="00163E7E" w:rsidRPr="007B7D09" w:rsidRDefault="00163E7E" w:rsidP="00C07105">
            <w:pPr>
              <w:spacing w:after="0"/>
              <w:jc w:val="center"/>
              <w:rPr>
                <w:rFonts w:cs="Arial"/>
                <w:color w:val="000000"/>
                <w:sz w:val="18"/>
                <w:szCs w:val="18"/>
              </w:rPr>
            </w:pPr>
            <w:r w:rsidRPr="0069103E">
              <w:rPr>
                <w:rFonts w:cs="Arial"/>
                <w:color w:val="000000"/>
                <w:sz w:val="18"/>
                <w:szCs w:val="18"/>
              </w:rPr>
              <w:t>na</w:t>
            </w:r>
          </w:p>
        </w:tc>
        <w:tc>
          <w:tcPr>
            <w:tcW w:w="1225" w:type="dxa"/>
            <w:tcBorders>
              <w:top w:val="single" w:sz="4" w:space="0" w:color="7030A0"/>
              <w:bottom w:val="single" w:sz="4" w:space="0" w:color="7030A0"/>
            </w:tcBorders>
            <w:shd w:val="clear" w:color="auto" w:fill="auto"/>
            <w:noWrap/>
            <w:vAlign w:val="center"/>
          </w:tcPr>
          <w:p w:rsidR="00163E7E" w:rsidRPr="007B7D09" w:rsidRDefault="00163E7E" w:rsidP="00C07105">
            <w:pPr>
              <w:spacing w:after="0"/>
              <w:jc w:val="center"/>
              <w:rPr>
                <w:rFonts w:cs="Arial"/>
                <w:color w:val="000000"/>
                <w:sz w:val="18"/>
                <w:szCs w:val="18"/>
              </w:rPr>
            </w:pPr>
            <w:r w:rsidRPr="0069103E">
              <w:rPr>
                <w:rFonts w:cs="Arial"/>
                <w:color w:val="000000"/>
                <w:sz w:val="18"/>
                <w:szCs w:val="18"/>
              </w:rPr>
              <w:t>$360,000</w:t>
            </w:r>
          </w:p>
        </w:tc>
        <w:tc>
          <w:tcPr>
            <w:tcW w:w="1225" w:type="dxa"/>
            <w:tcBorders>
              <w:top w:val="single" w:sz="4" w:space="0" w:color="7030A0"/>
              <w:bottom w:val="single" w:sz="4" w:space="0" w:color="7030A0"/>
            </w:tcBorders>
            <w:shd w:val="clear" w:color="auto" w:fill="auto"/>
            <w:noWrap/>
            <w:vAlign w:val="center"/>
          </w:tcPr>
          <w:p w:rsidR="00163E7E" w:rsidRPr="007B7D09" w:rsidRDefault="00163E7E" w:rsidP="00C07105">
            <w:pPr>
              <w:spacing w:after="0"/>
              <w:jc w:val="center"/>
              <w:rPr>
                <w:rFonts w:cs="Arial"/>
                <w:color w:val="000000"/>
                <w:sz w:val="18"/>
                <w:szCs w:val="18"/>
              </w:rPr>
            </w:pPr>
            <w:r w:rsidRPr="0069103E">
              <w:rPr>
                <w:rFonts w:cs="Arial"/>
                <w:color w:val="000000"/>
                <w:sz w:val="18"/>
                <w:szCs w:val="18"/>
              </w:rPr>
              <w:t>na</w:t>
            </w:r>
          </w:p>
        </w:tc>
        <w:tc>
          <w:tcPr>
            <w:tcW w:w="1167" w:type="dxa"/>
            <w:tcBorders>
              <w:top w:val="single" w:sz="4" w:space="0" w:color="7030A0"/>
              <w:bottom w:val="single" w:sz="4" w:space="0" w:color="7030A0"/>
            </w:tcBorders>
            <w:shd w:val="clear" w:color="auto" w:fill="auto"/>
            <w:noWrap/>
            <w:vAlign w:val="center"/>
          </w:tcPr>
          <w:p w:rsidR="00163E7E" w:rsidRPr="007B7D09" w:rsidRDefault="00163E7E" w:rsidP="00C07105">
            <w:pPr>
              <w:spacing w:after="0"/>
              <w:jc w:val="center"/>
              <w:rPr>
                <w:rFonts w:cs="Arial"/>
                <w:color w:val="000000"/>
                <w:sz w:val="18"/>
                <w:szCs w:val="18"/>
              </w:rPr>
            </w:pPr>
            <w:r w:rsidRPr="0069103E">
              <w:rPr>
                <w:rFonts w:cs="Arial"/>
                <w:color w:val="000000"/>
                <w:sz w:val="18"/>
                <w:szCs w:val="18"/>
              </w:rPr>
              <w:t>na</w:t>
            </w:r>
          </w:p>
        </w:tc>
        <w:tc>
          <w:tcPr>
            <w:tcW w:w="1225" w:type="dxa"/>
            <w:tcBorders>
              <w:top w:val="single" w:sz="4" w:space="0" w:color="7030A0"/>
              <w:bottom w:val="single" w:sz="4" w:space="0" w:color="7030A0"/>
            </w:tcBorders>
            <w:shd w:val="clear" w:color="auto" w:fill="auto"/>
            <w:noWrap/>
            <w:vAlign w:val="center"/>
          </w:tcPr>
          <w:p w:rsidR="00163E7E" w:rsidRPr="007B7D09" w:rsidRDefault="00163E7E" w:rsidP="00C07105">
            <w:pPr>
              <w:spacing w:after="0"/>
              <w:jc w:val="center"/>
              <w:rPr>
                <w:rFonts w:cs="Arial"/>
                <w:color w:val="000000"/>
                <w:sz w:val="18"/>
                <w:szCs w:val="18"/>
              </w:rPr>
            </w:pPr>
            <w:r w:rsidRPr="0069103E">
              <w:rPr>
                <w:rFonts w:cs="Arial"/>
                <w:color w:val="000000"/>
                <w:sz w:val="18"/>
                <w:szCs w:val="18"/>
              </w:rPr>
              <w:t>na</w:t>
            </w:r>
          </w:p>
        </w:tc>
        <w:tc>
          <w:tcPr>
            <w:tcW w:w="1225" w:type="dxa"/>
            <w:tcBorders>
              <w:top w:val="single" w:sz="4" w:space="0" w:color="7030A0"/>
              <w:bottom w:val="single" w:sz="4" w:space="0" w:color="7030A0"/>
            </w:tcBorders>
            <w:shd w:val="clear" w:color="auto" w:fill="auto"/>
            <w:noWrap/>
            <w:vAlign w:val="center"/>
          </w:tcPr>
          <w:p w:rsidR="00163E7E" w:rsidRPr="007B7D09" w:rsidRDefault="00163E7E" w:rsidP="00C07105">
            <w:pPr>
              <w:spacing w:after="0"/>
              <w:jc w:val="center"/>
              <w:rPr>
                <w:rFonts w:cs="Arial"/>
                <w:color w:val="000000"/>
                <w:sz w:val="18"/>
                <w:szCs w:val="18"/>
              </w:rPr>
            </w:pPr>
            <w:r w:rsidRPr="0069103E">
              <w:rPr>
                <w:rFonts w:cs="Arial"/>
                <w:color w:val="000000"/>
                <w:sz w:val="18"/>
                <w:szCs w:val="18"/>
              </w:rPr>
              <w:t>na</w:t>
            </w:r>
          </w:p>
        </w:tc>
        <w:tc>
          <w:tcPr>
            <w:tcW w:w="1225" w:type="dxa"/>
            <w:tcBorders>
              <w:top w:val="single" w:sz="4" w:space="0" w:color="7030A0"/>
              <w:bottom w:val="single" w:sz="4" w:space="0" w:color="7030A0"/>
            </w:tcBorders>
            <w:shd w:val="clear" w:color="auto" w:fill="auto"/>
            <w:noWrap/>
            <w:vAlign w:val="center"/>
          </w:tcPr>
          <w:p w:rsidR="00163E7E" w:rsidRPr="007B7D09" w:rsidRDefault="00163E7E" w:rsidP="00C07105">
            <w:pPr>
              <w:spacing w:after="0"/>
              <w:jc w:val="center"/>
              <w:rPr>
                <w:rFonts w:cs="Arial"/>
                <w:color w:val="000000"/>
                <w:sz w:val="18"/>
                <w:szCs w:val="18"/>
              </w:rPr>
            </w:pPr>
            <w:r w:rsidRPr="0069103E">
              <w:rPr>
                <w:rFonts w:cs="Arial"/>
                <w:color w:val="000000"/>
                <w:sz w:val="18"/>
                <w:szCs w:val="18"/>
              </w:rPr>
              <w:t>$530,000</w:t>
            </w:r>
          </w:p>
        </w:tc>
        <w:tc>
          <w:tcPr>
            <w:tcW w:w="1225" w:type="dxa"/>
            <w:tcBorders>
              <w:top w:val="single" w:sz="4" w:space="0" w:color="7030A0"/>
              <w:bottom w:val="single" w:sz="4" w:space="0" w:color="7030A0"/>
              <w:right w:val="single" w:sz="4" w:space="0" w:color="7030A0"/>
            </w:tcBorders>
            <w:shd w:val="clear" w:color="auto" w:fill="auto"/>
            <w:noWrap/>
            <w:vAlign w:val="center"/>
          </w:tcPr>
          <w:p w:rsidR="00163E7E" w:rsidRPr="007B7D09" w:rsidRDefault="00163E7E" w:rsidP="00C07105">
            <w:pPr>
              <w:spacing w:after="0"/>
              <w:jc w:val="center"/>
              <w:rPr>
                <w:rFonts w:cs="Arial"/>
                <w:color w:val="000000"/>
                <w:sz w:val="18"/>
                <w:szCs w:val="18"/>
              </w:rPr>
            </w:pPr>
            <w:r w:rsidRPr="0069103E">
              <w:rPr>
                <w:rFonts w:cs="Arial"/>
                <w:color w:val="000000"/>
                <w:sz w:val="18"/>
                <w:szCs w:val="18"/>
              </w:rPr>
              <w:t>na</w:t>
            </w:r>
          </w:p>
        </w:tc>
      </w:tr>
      <w:tr w:rsidR="001B1850" w:rsidRPr="0069103E" w:rsidTr="00C07105">
        <w:trPr>
          <w:trHeight w:val="334"/>
        </w:trPr>
        <w:tc>
          <w:tcPr>
            <w:tcW w:w="2972" w:type="dxa"/>
            <w:tcBorders>
              <w:top w:val="single" w:sz="4" w:space="0" w:color="7030A0"/>
              <w:left w:val="single" w:sz="4" w:space="0" w:color="7030A0"/>
              <w:bottom w:val="single" w:sz="4" w:space="0" w:color="7030A0"/>
            </w:tcBorders>
            <w:shd w:val="clear" w:color="auto" w:fill="auto"/>
            <w:noWrap/>
            <w:vAlign w:val="center"/>
          </w:tcPr>
          <w:p w:rsidR="001B1850" w:rsidRPr="007B7D09" w:rsidRDefault="001B1850" w:rsidP="001B1850">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Apartment, 2 bedrooms, 2</w:t>
            </w:r>
            <w:r w:rsidRPr="007B7D09">
              <w:rPr>
                <w:rFonts w:eastAsia="Times New Roman" w:cs="Arial"/>
                <w:color w:val="000000"/>
                <w:sz w:val="18"/>
                <w:szCs w:val="18"/>
                <w:lang w:eastAsia="en-AU"/>
              </w:rPr>
              <w:t xml:space="preserve"> resident</w:t>
            </w:r>
            <w:r>
              <w:rPr>
                <w:rFonts w:eastAsia="Times New Roman" w:cs="Arial"/>
                <w:color w:val="000000"/>
                <w:sz w:val="18"/>
                <w:szCs w:val="18"/>
                <w:lang w:eastAsia="en-AU"/>
              </w:rPr>
              <w:t>s</w:t>
            </w:r>
          </w:p>
        </w:tc>
        <w:tc>
          <w:tcPr>
            <w:tcW w:w="537" w:type="dxa"/>
            <w:tcBorders>
              <w:top w:val="single" w:sz="4" w:space="0" w:color="7030A0"/>
              <w:bottom w:val="single" w:sz="4" w:space="0" w:color="7030A0"/>
            </w:tcBorders>
            <w:vAlign w:val="center"/>
          </w:tcPr>
          <w:p w:rsidR="001B1850" w:rsidRPr="004C01F6" w:rsidRDefault="001B1850" w:rsidP="001B1850">
            <w:pPr>
              <w:spacing w:after="0"/>
              <w:jc w:val="center"/>
              <w:rPr>
                <w:rFonts w:cs="Arial"/>
                <w:sz w:val="18"/>
                <w:szCs w:val="18"/>
              </w:rPr>
            </w:pPr>
            <w:r w:rsidRPr="004C01F6">
              <w:rPr>
                <w:rFonts w:cs="Arial"/>
                <w:sz w:val="18"/>
                <w:szCs w:val="18"/>
              </w:rPr>
              <w:t>na</w:t>
            </w:r>
          </w:p>
        </w:tc>
        <w:tc>
          <w:tcPr>
            <w:tcW w:w="1225" w:type="dxa"/>
            <w:tcBorders>
              <w:top w:val="single" w:sz="4" w:space="0" w:color="7030A0"/>
              <w:bottom w:val="single" w:sz="4" w:space="0" w:color="7030A0"/>
            </w:tcBorders>
            <w:shd w:val="clear" w:color="auto" w:fill="auto"/>
            <w:noWrap/>
            <w:vAlign w:val="center"/>
          </w:tcPr>
          <w:p w:rsidR="001B1850" w:rsidRPr="0069103E" w:rsidRDefault="001B1850" w:rsidP="001B1850">
            <w:pPr>
              <w:spacing w:after="0"/>
              <w:jc w:val="center"/>
              <w:rPr>
                <w:rFonts w:cs="Arial"/>
                <w:color w:val="000000"/>
                <w:sz w:val="18"/>
                <w:szCs w:val="18"/>
              </w:rPr>
            </w:pPr>
            <w:r w:rsidRPr="0069103E">
              <w:rPr>
                <w:rFonts w:cs="Arial"/>
                <w:color w:val="000000"/>
                <w:sz w:val="18"/>
                <w:szCs w:val="18"/>
              </w:rPr>
              <w:t>$230,000</w:t>
            </w:r>
          </w:p>
        </w:tc>
        <w:tc>
          <w:tcPr>
            <w:tcW w:w="1225" w:type="dxa"/>
            <w:tcBorders>
              <w:top w:val="single" w:sz="4" w:space="0" w:color="7030A0"/>
              <w:bottom w:val="single" w:sz="4" w:space="0" w:color="7030A0"/>
            </w:tcBorders>
            <w:shd w:val="clear" w:color="auto" w:fill="auto"/>
            <w:noWrap/>
            <w:vAlign w:val="center"/>
          </w:tcPr>
          <w:p w:rsidR="001B1850" w:rsidRPr="0069103E" w:rsidRDefault="001B1850" w:rsidP="001B1850">
            <w:pPr>
              <w:spacing w:after="0"/>
              <w:jc w:val="center"/>
              <w:rPr>
                <w:rFonts w:cs="Arial"/>
                <w:color w:val="000000"/>
                <w:sz w:val="18"/>
                <w:szCs w:val="18"/>
              </w:rPr>
            </w:pPr>
            <w:r w:rsidRPr="0069103E">
              <w:rPr>
                <w:rFonts w:cs="Arial"/>
                <w:color w:val="000000"/>
                <w:sz w:val="18"/>
                <w:szCs w:val="18"/>
              </w:rPr>
              <w:t>na</w:t>
            </w:r>
          </w:p>
        </w:tc>
        <w:tc>
          <w:tcPr>
            <w:tcW w:w="1225" w:type="dxa"/>
            <w:tcBorders>
              <w:top w:val="single" w:sz="4" w:space="0" w:color="7030A0"/>
              <w:bottom w:val="single" w:sz="4" w:space="0" w:color="7030A0"/>
            </w:tcBorders>
            <w:shd w:val="clear" w:color="auto" w:fill="auto"/>
            <w:noWrap/>
            <w:vAlign w:val="center"/>
          </w:tcPr>
          <w:p w:rsidR="001B1850" w:rsidRPr="0069103E" w:rsidRDefault="001B1850" w:rsidP="001B1850">
            <w:pPr>
              <w:spacing w:after="0"/>
              <w:jc w:val="center"/>
              <w:rPr>
                <w:rFonts w:cs="Arial"/>
                <w:color w:val="000000"/>
                <w:sz w:val="18"/>
                <w:szCs w:val="18"/>
              </w:rPr>
            </w:pPr>
            <w:r w:rsidRPr="0069103E">
              <w:rPr>
                <w:rFonts w:cs="Arial"/>
                <w:color w:val="000000"/>
                <w:sz w:val="18"/>
                <w:szCs w:val="18"/>
              </w:rPr>
              <w:t>$360,000</w:t>
            </w:r>
          </w:p>
        </w:tc>
        <w:tc>
          <w:tcPr>
            <w:tcW w:w="1225" w:type="dxa"/>
            <w:tcBorders>
              <w:top w:val="single" w:sz="4" w:space="0" w:color="7030A0"/>
              <w:bottom w:val="single" w:sz="4" w:space="0" w:color="7030A0"/>
            </w:tcBorders>
            <w:shd w:val="clear" w:color="auto" w:fill="auto"/>
            <w:noWrap/>
            <w:vAlign w:val="center"/>
          </w:tcPr>
          <w:p w:rsidR="001B1850" w:rsidRPr="0069103E" w:rsidRDefault="001B1850" w:rsidP="001B1850">
            <w:pPr>
              <w:spacing w:after="0"/>
              <w:jc w:val="center"/>
              <w:rPr>
                <w:rFonts w:cs="Arial"/>
                <w:color w:val="000000"/>
                <w:sz w:val="18"/>
                <w:szCs w:val="18"/>
              </w:rPr>
            </w:pPr>
            <w:r w:rsidRPr="0069103E">
              <w:rPr>
                <w:rFonts w:cs="Arial"/>
                <w:color w:val="000000"/>
                <w:sz w:val="18"/>
                <w:szCs w:val="18"/>
              </w:rPr>
              <w:t>na</w:t>
            </w:r>
          </w:p>
        </w:tc>
        <w:tc>
          <w:tcPr>
            <w:tcW w:w="1167" w:type="dxa"/>
            <w:tcBorders>
              <w:top w:val="single" w:sz="4" w:space="0" w:color="7030A0"/>
              <w:bottom w:val="single" w:sz="4" w:space="0" w:color="7030A0"/>
            </w:tcBorders>
            <w:shd w:val="clear" w:color="auto" w:fill="auto"/>
            <w:noWrap/>
            <w:vAlign w:val="center"/>
          </w:tcPr>
          <w:p w:rsidR="001B1850" w:rsidRPr="0069103E" w:rsidRDefault="001B1850" w:rsidP="001B1850">
            <w:pPr>
              <w:spacing w:after="0"/>
              <w:jc w:val="center"/>
              <w:rPr>
                <w:rFonts w:cs="Arial"/>
                <w:color w:val="000000"/>
                <w:sz w:val="18"/>
                <w:szCs w:val="18"/>
              </w:rPr>
            </w:pPr>
            <w:r w:rsidRPr="0069103E">
              <w:rPr>
                <w:rFonts w:cs="Arial"/>
                <w:color w:val="000000"/>
                <w:sz w:val="18"/>
                <w:szCs w:val="18"/>
              </w:rPr>
              <w:t>na</w:t>
            </w:r>
          </w:p>
        </w:tc>
        <w:tc>
          <w:tcPr>
            <w:tcW w:w="1225" w:type="dxa"/>
            <w:tcBorders>
              <w:top w:val="single" w:sz="4" w:space="0" w:color="7030A0"/>
              <w:bottom w:val="single" w:sz="4" w:space="0" w:color="7030A0"/>
            </w:tcBorders>
            <w:shd w:val="clear" w:color="auto" w:fill="auto"/>
            <w:noWrap/>
            <w:vAlign w:val="center"/>
          </w:tcPr>
          <w:p w:rsidR="001B1850" w:rsidRPr="0069103E" w:rsidRDefault="001B1850" w:rsidP="001B1850">
            <w:pPr>
              <w:spacing w:after="0"/>
              <w:jc w:val="center"/>
              <w:rPr>
                <w:rFonts w:cs="Arial"/>
                <w:color w:val="000000"/>
                <w:sz w:val="18"/>
                <w:szCs w:val="18"/>
              </w:rPr>
            </w:pPr>
            <w:r w:rsidRPr="0069103E">
              <w:rPr>
                <w:rFonts w:cs="Arial"/>
                <w:color w:val="000000"/>
                <w:sz w:val="18"/>
                <w:szCs w:val="18"/>
              </w:rPr>
              <w:t>na</w:t>
            </w:r>
          </w:p>
        </w:tc>
        <w:tc>
          <w:tcPr>
            <w:tcW w:w="1225" w:type="dxa"/>
            <w:tcBorders>
              <w:top w:val="single" w:sz="4" w:space="0" w:color="7030A0"/>
              <w:bottom w:val="single" w:sz="4" w:space="0" w:color="7030A0"/>
            </w:tcBorders>
            <w:shd w:val="clear" w:color="auto" w:fill="auto"/>
            <w:noWrap/>
            <w:vAlign w:val="center"/>
          </w:tcPr>
          <w:p w:rsidR="001B1850" w:rsidRPr="0069103E" w:rsidRDefault="001B1850" w:rsidP="001B1850">
            <w:pPr>
              <w:spacing w:after="0"/>
              <w:jc w:val="center"/>
              <w:rPr>
                <w:rFonts w:cs="Arial"/>
                <w:color w:val="000000"/>
                <w:sz w:val="18"/>
                <w:szCs w:val="18"/>
              </w:rPr>
            </w:pPr>
            <w:r w:rsidRPr="0069103E">
              <w:rPr>
                <w:rFonts w:cs="Arial"/>
                <w:color w:val="000000"/>
                <w:sz w:val="18"/>
                <w:szCs w:val="18"/>
              </w:rPr>
              <w:t>na</w:t>
            </w:r>
          </w:p>
        </w:tc>
        <w:tc>
          <w:tcPr>
            <w:tcW w:w="1225" w:type="dxa"/>
            <w:tcBorders>
              <w:top w:val="single" w:sz="4" w:space="0" w:color="7030A0"/>
              <w:bottom w:val="single" w:sz="4" w:space="0" w:color="7030A0"/>
            </w:tcBorders>
            <w:shd w:val="clear" w:color="auto" w:fill="auto"/>
            <w:noWrap/>
            <w:vAlign w:val="center"/>
          </w:tcPr>
          <w:p w:rsidR="001B1850" w:rsidRPr="0069103E" w:rsidRDefault="001B1850" w:rsidP="001B1850">
            <w:pPr>
              <w:spacing w:after="0"/>
              <w:jc w:val="center"/>
              <w:rPr>
                <w:rFonts w:cs="Arial"/>
                <w:color w:val="000000"/>
                <w:sz w:val="18"/>
                <w:szCs w:val="18"/>
              </w:rPr>
            </w:pPr>
            <w:r w:rsidRPr="0069103E">
              <w:rPr>
                <w:rFonts w:cs="Arial"/>
                <w:color w:val="000000"/>
                <w:sz w:val="18"/>
                <w:szCs w:val="18"/>
              </w:rPr>
              <w:t>$530,000</w:t>
            </w:r>
          </w:p>
        </w:tc>
        <w:tc>
          <w:tcPr>
            <w:tcW w:w="1225" w:type="dxa"/>
            <w:tcBorders>
              <w:top w:val="single" w:sz="4" w:space="0" w:color="7030A0"/>
              <w:bottom w:val="single" w:sz="4" w:space="0" w:color="7030A0"/>
              <w:right w:val="single" w:sz="4" w:space="0" w:color="7030A0"/>
            </w:tcBorders>
            <w:shd w:val="clear" w:color="auto" w:fill="auto"/>
            <w:noWrap/>
            <w:vAlign w:val="center"/>
          </w:tcPr>
          <w:p w:rsidR="001B1850" w:rsidRPr="0069103E" w:rsidRDefault="001B1850" w:rsidP="001B1850">
            <w:pPr>
              <w:spacing w:after="0"/>
              <w:jc w:val="center"/>
              <w:rPr>
                <w:rFonts w:cs="Arial"/>
                <w:color w:val="000000"/>
                <w:sz w:val="18"/>
                <w:szCs w:val="18"/>
              </w:rPr>
            </w:pPr>
            <w:r w:rsidRPr="0069103E">
              <w:rPr>
                <w:rFonts w:cs="Arial"/>
                <w:color w:val="000000"/>
                <w:sz w:val="18"/>
                <w:szCs w:val="18"/>
              </w:rPr>
              <w:t>na</w:t>
            </w:r>
          </w:p>
        </w:tc>
      </w:tr>
      <w:tr w:rsidR="001B1850" w:rsidRPr="0069103E" w:rsidTr="00C07105">
        <w:trPr>
          <w:trHeight w:val="334"/>
        </w:trPr>
        <w:tc>
          <w:tcPr>
            <w:tcW w:w="2972" w:type="dxa"/>
            <w:tcBorders>
              <w:top w:val="single" w:sz="4" w:space="0" w:color="7030A0"/>
              <w:left w:val="single" w:sz="4" w:space="0" w:color="7030A0"/>
              <w:bottom w:val="single" w:sz="4" w:space="0" w:color="7030A0"/>
            </w:tcBorders>
            <w:shd w:val="clear" w:color="auto" w:fill="auto"/>
            <w:noWrap/>
            <w:vAlign w:val="center"/>
          </w:tcPr>
          <w:p w:rsidR="001B1850" w:rsidRPr="007B7D09" w:rsidRDefault="001B1850" w:rsidP="001B1850">
            <w:pPr>
              <w:spacing w:after="0" w:line="240" w:lineRule="auto"/>
              <w:rPr>
                <w:rFonts w:eastAsia="Times New Roman" w:cs="Arial"/>
                <w:color w:val="000000"/>
                <w:sz w:val="18"/>
                <w:szCs w:val="18"/>
                <w:lang w:eastAsia="en-AU"/>
              </w:rPr>
            </w:pPr>
            <w:r w:rsidRPr="007B7D09">
              <w:rPr>
                <w:rFonts w:eastAsia="Times New Roman" w:cs="Arial"/>
                <w:color w:val="000000"/>
                <w:sz w:val="18"/>
                <w:szCs w:val="18"/>
                <w:lang w:eastAsia="en-AU"/>
              </w:rPr>
              <w:t>Apartment, 3 bedrooms, 2 residents</w:t>
            </w:r>
          </w:p>
        </w:tc>
        <w:tc>
          <w:tcPr>
            <w:tcW w:w="537" w:type="dxa"/>
            <w:tcBorders>
              <w:top w:val="single" w:sz="4" w:space="0" w:color="7030A0"/>
              <w:bottom w:val="single" w:sz="4" w:space="0" w:color="7030A0"/>
            </w:tcBorders>
            <w:vAlign w:val="center"/>
          </w:tcPr>
          <w:p w:rsidR="001B1850" w:rsidRPr="004C01F6" w:rsidRDefault="001B1850" w:rsidP="001B1850">
            <w:pPr>
              <w:spacing w:after="0"/>
              <w:jc w:val="center"/>
              <w:rPr>
                <w:rFonts w:cs="Arial"/>
                <w:sz w:val="18"/>
                <w:szCs w:val="18"/>
              </w:rPr>
            </w:pPr>
            <w:r w:rsidRPr="004C01F6">
              <w:rPr>
                <w:rFonts w:cs="Arial"/>
                <w:sz w:val="18"/>
                <w:szCs w:val="18"/>
              </w:rPr>
              <w:t>na</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$300,000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na</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$460,000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na</w:t>
            </w:r>
          </w:p>
        </w:tc>
        <w:tc>
          <w:tcPr>
            <w:tcW w:w="1167"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na</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na</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na</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$700,000</w:t>
            </w:r>
          </w:p>
        </w:tc>
        <w:tc>
          <w:tcPr>
            <w:tcW w:w="1225" w:type="dxa"/>
            <w:tcBorders>
              <w:top w:val="single" w:sz="4" w:space="0" w:color="7030A0"/>
              <w:bottom w:val="single" w:sz="4" w:space="0" w:color="7030A0"/>
              <w:right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na</w:t>
            </w:r>
          </w:p>
        </w:tc>
      </w:tr>
      <w:tr w:rsidR="001B1850" w:rsidRPr="0069103E" w:rsidTr="00C07105">
        <w:trPr>
          <w:trHeight w:val="334"/>
        </w:trPr>
        <w:tc>
          <w:tcPr>
            <w:tcW w:w="2972" w:type="dxa"/>
            <w:tcBorders>
              <w:top w:val="single" w:sz="4" w:space="0" w:color="7030A0"/>
              <w:left w:val="single" w:sz="4" w:space="0" w:color="7030A0"/>
              <w:bottom w:val="single" w:sz="4" w:space="0" w:color="7030A0"/>
            </w:tcBorders>
            <w:shd w:val="clear" w:color="auto" w:fill="auto"/>
            <w:noWrap/>
            <w:vAlign w:val="center"/>
            <w:hideMark/>
          </w:tcPr>
          <w:p w:rsidR="001B1850" w:rsidRPr="007B7D09" w:rsidRDefault="001B1850" w:rsidP="003A4E31">
            <w:pPr>
              <w:spacing w:after="0" w:line="240" w:lineRule="auto"/>
              <w:rPr>
                <w:rFonts w:eastAsia="Times New Roman" w:cs="Arial"/>
                <w:color w:val="000000"/>
                <w:sz w:val="18"/>
                <w:szCs w:val="18"/>
                <w:lang w:eastAsia="en-AU"/>
              </w:rPr>
            </w:pPr>
            <w:r w:rsidRPr="007B7D09">
              <w:rPr>
                <w:rFonts w:eastAsia="Times New Roman" w:cs="Arial"/>
                <w:color w:val="000000"/>
                <w:sz w:val="18"/>
                <w:szCs w:val="18"/>
                <w:lang w:eastAsia="en-AU"/>
              </w:rPr>
              <w:t>Villa</w:t>
            </w:r>
            <w:r w:rsidR="003A4E31">
              <w:rPr>
                <w:rFonts w:eastAsia="Times New Roman" w:cs="Arial"/>
                <w:color w:val="000000"/>
                <w:sz w:val="18"/>
                <w:szCs w:val="18"/>
                <w:lang w:eastAsia="en-AU"/>
              </w:rPr>
              <w:t>/duplex/townhouse</w:t>
            </w:r>
            <w:r w:rsidRPr="007B7D09">
              <w:rPr>
                <w:rFonts w:eastAsia="Times New Roman" w:cs="Arial"/>
                <w:color w:val="000000"/>
                <w:sz w:val="18"/>
                <w:szCs w:val="18"/>
                <w:lang w:eastAsia="en-AU"/>
              </w:rPr>
              <w:t>, 1 resident</w:t>
            </w:r>
          </w:p>
        </w:tc>
        <w:tc>
          <w:tcPr>
            <w:tcW w:w="537" w:type="dxa"/>
            <w:tcBorders>
              <w:top w:val="single" w:sz="4" w:space="0" w:color="7030A0"/>
              <w:bottom w:val="single" w:sz="4" w:space="0" w:color="7030A0"/>
            </w:tcBorders>
            <w:vAlign w:val="center"/>
          </w:tcPr>
          <w:p w:rsidR="001B1850" w:rsidRPr="004C01F6" w:rsidRDefault="001B1850" w:rsidP="001B1850">
            <w:pPr>
              <w:spacing w:after="0"/>
              <w:jc w:val="center"/>
              <w:rPr>
                <w:rFonts w:cs="Arial"/>
                <w:sz w:val="18"/>
                <w:szCs w:val="18"/>
              </w:rPr>
            </w:pPr>
            <w:r w:rsidRPr="004C01F6">
              <w:rPr>
                <w:rFonts w:cs="Arial"/>
                <w:sz w:val="18"/>
                <w:szCs w:val="18"/>
              </w:rPr>
              <w:t>na</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$110,000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$130,000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$170,000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$180,000</w:t>
            </w:r>
          </w:p>
        </w:tc>
        <w:tc>
          <w:tcPr>
            <w:tcW w:w="1167"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$200,000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$220,000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$240,000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$260,000</w:t>
            </w:r>
          </w:p>
        </w:tc>
        <w:tc>
          <w:tcPr>
            <w:tcW w:w="1225" w:type="dxa"/>
            <w:tcBorders>
              <w:top w:val="single" w:sz="4" w:space="0" w:color="7030A0"/>
              <w:bottom w:val="single" w:sz="4" w:space="0" w:color="7030A0"/>
              <w:right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$280,000</w:t>
            </w:r>
          </w:p>
        </w:tc>
      </w:tr>
      <w:tr w:rsidR="001B1850" w:rsidRPr="0069103E" w:rsidTr="00C07105">
        <w:trPr>
          <w:trHeight w:val="334"/>
        </w:trPr>
        <w:tc>
          <w:tcPr>
            <w:tcW w:w="2972" w:type="dxa"/>
            <w:tcBorders>
              <w:top w:val="single" w:sz="4" w:space="0" w:color="7030A0"/>
              <w:left w:val="single" w:sz="4" w:space="0" w:color="7030A0"/>
              <w:bottom w:val="single" w:sz="4" w:space="0" w:color="7030A0"/>
            </w:tcBorders>
            <w:shd w:val="clear" w:color="auto" w:fill="auto"/>
            <w:noWrap/>
            <w:vAlign w:val="center"/>
            <w:hideMark/>
          </w:tcPr>
          <w:p w:rsidR="001B1850" w:rsidRPr="007B7D09" w:rsidRDefault="003A4E31" w:rsidP="003A4E31">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Villa/d</w:t>
            </w:r>
            <w:r w:rsidR="001B1850" w:rsidRPr="007B7D09">
              <w:rPr>
                <w:rFonts w:eastAsia="Times New Roman" w:cs="Arial"/>
                <w:color w:val="000000"/>
                <w:sz w:val="18"/>
                <w:szCs w:val="18"/>
                <w:lang w:eastAsia="en-AU"/>
              </w:rPr>
              <w:t>uplex/</w:t>
            </w:r>
            <w:r>
              <w:rPr>
                <w:rFonts w:eastAsia="Times New Roman" w:cs="Arial"/>
                <w:color w:val="000000"/>
                <w:sz w:val="18"/>
                <w:szCs w:val="18"/>
                <w:lang w:eastAsia="en-AU"/>
              </w:rPr>
              <w:t>t</w:t>
            </w:r>
            <w:r w:rsidR="001B1850" w:rsidRPr="007B7D09">
              <w:rPr>
                <w:rFonts w:eastAsia="Times New Roman" w:cs="Arial"/>
                <w:color w:val="000000"/>
                <w:sz w:val="18"/>
                <w:szCs w:val="18"/>
                <w:lang w:eastAsia="en-AU"/>
              </w:rPr>
              <w:t>ownhouse, 2 residents</w:t>
            </w:r>
          </w:p>
        </w:tc>
        <w:tc>
          <w:tcPr>
            <w:tcW w:w="537" w:type="dxa"/>
            <w:tcBorders>
              <w:top w:val="single" w:sz="4" w:space="0" w:color="7030A0"/>
              <w:bottom w:val="single" w:sz="4" w:space="0" w:color="7030A0"/>
            </w:tcBorders>
            <w:vAlign w:val="center"/>
          </w:tcPr>
          <w:p w:rsidR="001B1850" w:rsidRPr="004C01F6" w:rsidRDefault="001B1850" w:rsidP="001B1850">
            <w:pPr>
              <w:spacing w:after="0"/>
              <w:jc w:val="center"/>
              <w:rPr>
                <w:rFonts w:cs="Arial"/>
                <w:sz w:val="18"/>
                <w:szCs w:val="18"/>
              </w:rPr>
            </w:pPr>
            <w:r w:rsidRPr="004C01F6">
              <w:rPr>
                <w:rFonts w:cs="Arial"/>
                <w:sz w:val="18"/>
                <w:szCs w:val="18"/>
              </w:rPr>
              <w:t>na</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$140,000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$160,000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$210,000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$230,000</w:t>
            </w:r>
          </w:p>
        </w:tc>
        <w:tc>
          <w:tcPr>
            <w:tcW w:w="1167"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$250,000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$270,000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$290,000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$330,000</w:t>
            </w:r>
          </w:p>
        </w:tc>
        <w:tc>
          <w:tcPr>
            <w:tcW w:w="1225" w:type="dxa"/>
            <w:tcBorders>
              <w:top w:val="single" w:sz="4" w:space="0" w:color="7030A0"/>
              <w:bottom w:val="single" w:sz="4" w:space="0" w:color="7030A0"/>
              <w:right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$360,000</w:t>
            </w:r>
          </w:p>
        </w:tc>
      </w:tr>
      <w:tr w:rsidR="001B1850" w:rsidRPr="0069103E" w:rsidTr="00C07105">
        <w:trPr>
          <w:trHeight w:val="334"/>
        </w:trPr>
        <w:tc>
          <w:tcPr>
            <w:tcW w:w="2972" w:type="dxa"/>
            <w:tcBorders>
              <w:top w:val="single" w:sz="4" w:space="0" w:color="7030A0"/>
              <w:left w:val="single" w:sz="4" w:space="0" w:color="7030A0"/>
              <w:bottom w:val="single" w:sz="4" w:space="0" w:color="7030A0"/>
            </w:tcBorders>
            <w:shd w:val="clear" w:color="auto" w:fill="auto"/>
            <w:noWrap/>
            <w:vAlign w:val="center"/>
            <w:hideMark/>
          </w:tcPr>
          <w:p w:rsidR="001B1850" w:rsidRPr="004C01F6" w:rsidRDefault="003A4E31" w:rsidP="001B1850">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Villa/d</w:t>
            </w:r>
            <w:r w:rsidR="001B1850" w:rsidRPr="007B7D09">
              <w:rPr>
                <w:rFonts w:eastAsia="Times New Roman" w:cs="Arial"/>
                <w:color w:val="000000"/>
                <w:sz w:val="18"/>
                <w:szCs w:val="18"/>
                <w:lang w:eastAsia="en-AU"/>
              </w:rPr>
              <w:t>uplex</w:t>
            </w:r>
            <w:r w:rsidR="001B1850" w:rsidRPr="004C01F6">
              <w:rPr>
                <w:rFonts w:eastAsia="Times New Roman" w:cs="Arial"/>
                <w:color w:val="000000"/>
                <w:sz w:val="18"/>
                <w:szCs w:val="18"/>
                <w:lang w:eastAsia="en-AU"/>
              </w:rPr>
              <w:t>/</w:t>
            </w:r>
            <w:r>
              <w:rPr>
                <w:rFonts w:eastAsia="Times New Roman" w:cs="Arial"/>
                <w:color w:val="000000"/>
                <w:sz w:val="18"/>
                <w:szCs w:val="18"/>
                <w:lang w:eastAsia="en-AU"/>
              </w:rPr>
              <w:t>t</w:t>
            </w:r>
            <w:r w:rsidR="001B1850" w:rsidRPr="004C01F6">
              <w:rPr>
                <w:rFonts w:eastAsia="Times New Roman" w:cs="Arial"/>
                <w:color w:val="000000"/>
                <w:sz w:val="18"/>
                <w:szCs w:val="18"/>
                <w:lang w:eastAsia="en-AU"/>
              </w:rPr>
              <w:t>ownhouse, 3 residents</w:t>
            </w:r>
          </w:p>
        </w:tc>
        <w:tc>
          <w:tcPr>
            <w:tcW w:w="537" w:type="dxa"/>
            <w:tcBorders>
              <w:top w:val="single" w:sz="4" w:space="0" w:color="7030A0"/>
              <w:bottom w:val="single" w:sz="4" w:space="0" w:color="7030A0"/>
            </w:tcBorders>
            <w:vAlign w:val="center"/>
          </w:tcPr>
          <w:p w:rsidR="001B1850" w:rsidRPr="00294EE7" w:rsidRDefault="001B1850" w:rsidP="001B1850">
            <w:pPr>
              <w:spacing w:after="0"/>
              <w:jc w:val="center"/>
              <w:rPr>
                <w:rFonts w:cs="Arial"/>
                <w:sz w:val="18"/>
                <w:szCs w:val="18"/>
              </w:rPr>
            </w:pPr>
            <w:r w:rsidRPr="00294EE7">
              <w:rPr>
                <w:rFonts w:cs="Arial"/>
                <w:sz w:val="18"/>
                <w:szCs w:val="18"/>
              </w:rPr>
              <w:t>na</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$190,000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$200,000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$280,000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$290,000</w:t>
            </w:r>
          </w:p>
        </w:tc>
        <w:tc>
          <w:tcPr>
            <w:tcW w:w="1167"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$340,000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$360,000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$370,000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$450,000</w:t>
            </w:r>
          </w:p>
        </w:tc>
        <w:tc>
          <w:tcPr>
            <w:tcW w:w="1225" w:type="dxa"/>
            <w:tcBorders>
              <w:top w:val="single" w:sz="4" w:space="0" w:color="7030A0"/>
              <w:bottom w:val="single" w:sz="4" w:space="0" w:color="7030A0"/>
              <w:right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$470,000</w:t>
            </w:r>
          </w:p>
        </w:tc>
      </w:tr>
      <w:tr w:rsidR="001B1850" w:rsidRPr="0069103E" w:rsidTr="00C07105">
        <w:trPr>
          <w:trHeight w:val="334"/>
        </w:trPr>
        <w:tc>
          <w:tcPr>
            <w:tcW w:w="2972" w:type="dxa"/>
            <w:tcBorders>
              <w:top w:val="single" w:sz="4" w:space="0" w:color="7030A0"/>
              <w:left w:val="single" w:sz="4" w:space="0" w:color="7030A0"/>
              <w:bottom w:val="single" w:sz="4" w:space="0" w:color="7030A0"/>
            </w:tcBorders>
            <w:shd w:val="clear" w:color="auto" w:fill="auto"/>
            <w:noWrap/>
            <w:vAlign w:val="center"/>
          </w:tcPr>
          <w:p w:rsidR="001B1850" w:rsidRPr="007B7D09" w:rsidRDefault="001B1850" w:rsidP="001B1850">
            <w:pPr>
              <w:spacing w:after="0" w:line="240" w:lineRule="auto"/>
              <w:rPr>
                <w:rFonts w:eastAsia="Times New Roman" w:cs="Arial"/>
                <w:color w:val="000000"/>
                <w:sz w:val="18"/>
                <w:szCs w:val="18"/>
                <w:lang w:eastAsia="en-AU"/>
              </w:rPr>
            </w:pPr>
            <w:r w:rsidRPr="007B7D09">
              <w:rPr>
                <w:rFonts w:eastAsia="Times New Roman" w:cs="Arial"/>
                <w:color w:val="000000"/>
                <w:sz w:val="18"/>
                <w:szCs w:val="18"/>
                <w:lang w:eastAsia="en-AU"/>
              </w:rPr>
              <w:t>House, 2 residents</w:t>
            </w:r>
          </w:p>
        </w:tc>
        <w:tc>
          <w:tcPr>
            <w:tcW w:w="537" w:type="dxa"/>
            <w:tcBorders>
              <w:top w:val="single" w:sz="4" w:space="0" w:color="7030A0"/>
              <w:bottom w:val="single" w:sz="4" w:space="0" w:color="7030A0"/>
            </w:tcBorders>
            <w:vAlign w:val="center"/>
          </w:tcPr>
          <w:p w:rsidR="001B1850" w:rsidRPr="004C01F6" w:rsidRDefault="001B1850" w:rsidP="001B1850">
            <w:pPr>
              <w:spacing w:after="0"/>
              <w:jc w:val="center"/>
              <w:rPr>
                <w:rFonts w:cs="Arial"/>
                <w:sz w:val="18"/>
                <w:szCs w:val="18"/>
              </w:rPr>
            </w:pPr>
            <w:r w:rsidRPr="004C01F6">
              <w:rPr>
                <w:rFonts w:cs="Arial"/>
                <w:sz w:val="18"/>
                <w:szCs w:val="18"/>
              </w:rPr>
              <w:t>na</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$150,000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$170,000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$220,000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$240,000</w:t>
            </w:r>
          </w:p>
        </w:tc>
        <w:tc>
          <w:tcPr>
            <w:tcW w:w="1167"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$270,000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$290,000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$310,000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$350,000</w:t>
            </w:r>
          </w:p>
        </w:tc>
        <w:tc>
          <w:tcPr>
            <w:tcW w:w="1225" w:type="dxa"/>
            <w:tcBorders>
              <w:top w:val="single" w:sz="4" w:space="0" w:color="7030A0"/>
              <w:bottom w:val="single" w:sz="4" w:space="0" w:color="7030A0"/>
              <w:right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$370,000</w:t>
            </w:r>
          </w:p>
        </w:tc>
      </w:tr>
      <w:tr w:rsidR="001B1850" w:rsidRPr="0069103E" w:rsidTr="00C07105">
        <w:trPr>
          <w:trHeight w:val="334"/>
        </w:trPr>
        <w:tc>
          <w:tcPr>
            <w:tcW w:w="2972" w:type="dxa"/>
            <w:tcBorders>
              <w:top w:val="single" w:sz="4" w:space="0" w:color="7030A0"/>
              <w:left w:val="single" w:sz="4" w:space="0" w:color="7030A0"/>
              <w:bottom w:val="single" w:sz="4" w:space="0" w:color="7030A0"/>
            </w:tcBorders>
            <w:shd w:val="clear" w:color="auto" w:fill="auto"/>
            <w:noWrap/>
            <w:vAlign w:val="center"/>
            <w:hideMark/>
          </w:tcPr>
          <w:p w:rsidR="001B1850" w:rsidRPr="007B7D09" w:rsidRDefault="001B1850" w:rsidP="001B1850">
            <w:pPr>
              <w:spacing w:after="0" w:line="240" w:lineRule="auto"/>
              <w:rPr>
                <w:rFonts w:eastAsia="Times New Roman" w:cs="Arial"/>
                <w:color w:val="000000"/>
                <w:sz w:val="18"/>
                <w:szCs w:val="18"/>
                <w:lang w:eastAsia="en-AU"/>
              </w:rPr>
            </w:pPr>
            <w:r w:rsidRPr="007B7D09">
              <w:rPr>
                <w:rFonts w:eastAsia="Times New Roman" w:cs="Arial"/>
                <w:color w:val="000000"/>
                <w:sz w:val="18"/>
                <w:szCs w:val="18"/>
                <w:lang w:eastAsia="en-AU"/>
              </w:rPr>
              <w:t>House, 3 residents</w:t>
            </w:r>
          </w:p>
        </w:tc>
        <w:tc>
          <w:tcPr>
            <w:tcW w:w="537" w:type="dxa"/>
            <w:tcBorders>
              <w:top w:val="single" w:sz="4" w:space="0" w:color="7030A0"/>
              <w:bottom w:val="single" w:sz="4" w:space="0" w:color="7030A0"/>
            </w:tcBorders>
            <w:vAlign w:val="center"/>
          </w:tcPr>
          <w:p w:rsidR="001B1850" w:rsidRPr="004C01F6" w:rsidRDefault="001B1850" w:rsidP="001B1850">
            <w:pPr>
              <w:spacing w:after="0"/>
              <w:jc w:val="center"/>
              <w:rPr>
                <w:rFonts w:cs="Arial"/>
                <w:sz w:val="18"/>
                <w:szCs w:val="18"/>
              </w:rPr>
            </w:pPr>
            <w:r w:rsidRPr="004C01F6">
              <w:rPr>
                <w:rFonts w:cs="Arial"/>
                <w:sz w:val="18"/>
                <w:szCs w:val="18"/>
              </w:rPr>
              <w:t>na</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$210,000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$230,000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$310,000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$330,000</w:t>
            </w:r>
          </w:p>
        </w:tc>
        <w:tc>
          <w:tcPr>
            <w:tcW w:w="1167"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$380,000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$400,000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$420,000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$540,000</w:t>
            </w:r>
          </w:p>
        </w:tc>
        <w:tc>
          <w:tcPr>
            <w:tcW w:w="1225" w:type="dxa"/>
            <w:tcBorders>
              <w:top w:val="single" w:sz="4" w:space="0" w:color="7030A0"/>
              <w:bottom w:val="single" w:sz="4" w:space="0" w:color="7030A0"/>
              <w:right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$560,000</w:t>
            </w:r>
          </w:p>
        </w:tc>
      </w:tr>
      <w:tr w:rsidR="001B1850" w:rsidRPr="0069103E" w:rsidTr="00C07105">
        <w:trPr>
          <w:trHeight w:val="334"/>
        </w:trPr>
        <w:tc>
          <w:tcPr>
            <w:tcW w:w="2972" w:type="dxa"/>
            <w:tcBorders>
              <w:top w:val="single" w:sz="4" w:space="0" w:color="7030A0"/>
              <w:left w:val="single" w:sz="4" w:space="0" w:color="7030A0"/>
              <w:bottom w:val="single" w:sz="4" w:space="0" w:color="7030A0"/>
            </w:tcBorders>
            <w:shd w:val="clear" w:color="auto" w:fill="auto"/>
            <w:noWrap/>
            <w:vAlign w:val="center"/>
            <w:hideMark/>
          </w:tcPr>
          <w:p w:rsidR="001B1850" w:rsidRPr="007B7D09" w:rsidRDefault="001B1850" w:rsidP="001B1850">
            <w:pPr>
              <w:spacing w:after="0" w:line="240" w:lineRule="auto"/>
              <w:rPr>
                <w:rFonts w:eastAsia="Times New Roman" w:cs="Arial"/>
                <w:color w:val="000000"/>
                <w:sz w:val="18"/>
                <w:szCs w:val="18"/>
                <w:lang w:eastAsia="en-AU"/>
              </w:rPr>
            </w:pPr>
            <w:r w:rsidRPr="007B7D09">
              <w:rPr>
                <w:rFonts w:eastAsia="Times New Roman" w:cs="Arial"/>
                <w:color w:val="000000"/>
                <w:sz w:val="18"/>
                <w:szCs w:val="18"/>
                <w:lang w:eastAsia="en-AU"/>
              </w:rPr>
              <w:t xml:space="preserve">Group </w:t>
            </w:r>
            <w:r>
              <w:rPr>
                <w:rFonts w:eastAsia="Times New Roman" w:cs="Arial"/>
                <w:color w:val="000000"/>
                <w:sz w:val="18"/>
                <w:szCs w:val="18"/>
                <w:lang w:eastAsia="en-AU"/>
              </w:rPr>
              <w:t>home</w:t>
            </w:r>
            <w:r w:rsidRPr="007B7D09">
              <w:rPr>
                <w:rFonts w:eastAsia="Times New Roman" w:cs="Arial"/>
                <w:color w:val="000000"/>
                <w:sz w:val="18"/>
                <w:szCs w:val="18"/>
                <w:lang w:eastAsia="en-AU"/>
              </w:rPr>
              <w:t>, 4 residents</w:t>
            </w:r>
          </w:p>
        </w:tc>
        <w:tc>
          <w:tcPr>
            <w:tcW w:w="537" w:type="dxa"/>
            <w:tcBorders>
              <w:top w:val="single" w:sz="4" w:space="0" w:color="7030A0"/>
              <w:bottom w:val="single" w:sz="4" w:space="0" w:color="7030A0"/>
            </w:tcBorders>
            <w:vAlign w:val="center"/>
          </w:tcPr>
          <w:p w:rsidR="001B1850" w:rsidRPr="004C01F6" w:rsidRDefault="001B1850" w:rsidP="001B1850">
            <w:pPr>
              <w:spacing w:after="0"/>
              <w:jc w:val="center"/>
              <w:rPr>
                <w:rFonts w:cs="Arial"/>
                <w:sz w:val="18"/>
                <w:szCs w:val="18"/>
              </w:rPr>
            </w:pPr>
            <w:r w:rsidRPr="004C01F6">
              <w:rPr>
                <w:rFonts w:cs="Arial"/>
                <w:sz w:val="18"/>
                <w:szCs w:val="18"/>
              </w:rPr>
              <w:t>na</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$290,000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$310,000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$420,000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$430,000</w:t>
            </w:r>
          </w:p>
        </w:tc>
        <w:tc>
          <w:tcPr>
            <w:tcW w:w="1167"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$500,000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$520,000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$540,000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$680,000</w:t>
            </w:r>
          </w:p>
        </w:tc>
        <w:tc>
          <w:tcPr>
            <w:tcW w:w="1225" w:type="dxa"/>
            <w:tcBorders>
              <w:top w:val="single" w:sz="4" w:space="0" w:color="7030A0"/>
              <w:bottom w:val="single" w:sz="4" w:space="0" w:color="7030A0"/>
              <w:right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$710,000</w:t>
            </w:r>
          </w:p>
        </w:tc>
      </w:tr>
      <w:tr w:rsidR="001B1850" w:rsidRPr="0069103E" w:rsidTr="00C07105">
        <w:trPr>
          <w:trHeight w:val="334"/>
        </w:trPr>
        <w:tc>
          <w:tcPr>
            <w:tcW w:w="2972" w:type="dxa"/>
            <w:tcBorders>
              <w:top w:val="single" w:sz="4" w:space="0" w:color="7030A0"/>
              <w:left w:val="single" w:sz="4" w:space="0" w:color="7030A0"/>
              <w:bottom w:val="single" w:sz="4" w:space="0" w:color="7030A0"/>
            </w:tcBorders>
            <w:shd w:val="clear" w:color="auto" w:fill="auto"/>
            <w:noWrap/>
            <w:vAlign w:val="center"/>
            <w:hideMark/>
          </w:tcPr>
          <w:p w:rsidR="001B1850" w:rsidRPr="007B7D09" w:rsidRDefault="001B1850" w:rsidP="001B1850">
            <w:pPr>
              <w:spacing w:after="0" w:line="240" w:lineRule="auto"/>
              <w:rPr>
                <w:rFonts w:eastAsia="Times New Roman" w:cs="Arial"/>
                <w:color w:val="000000"/>
                <w:sz w:val="18"/>
                <w:szCs w:val="18"/>
                <w:lang w:eastAsia="en-AU"/>
              </w:rPr>
            </w:pPr>
            <w:r w:rsidRPr="007B7D09">
              <w:rPr>
                <w:rFonts w:eastAsia="Times New Roman" w:cs="Arial"/>
                <w:color w:val="000000"/>
                <w:sz w:val="18"/>
                <w:szCs w:val="18"/>
                <w:lang w:eastAsia="en-AU"/>
              </w:rPr>
              <w:t xml:space="preserve">Group </w:t>
            </w:r>
            <w:r>
              <w:rPr>
                <w:rFonts w:eastAsia="Times New Roman" w:cs="Arial"/>
                <w:color w:val="000000"/>
                <w:sz w:val="18"/>
                <w:szCs w:val="18"/>
                <w:lang w:eastAsia="en-AU"/>
              </w:rPr>
              <w:t>home</w:t>
            </w:r>
            <w:r w:rsidRPr="007B7D09">
              <w:rPr>
                <w:rFonts w:eastAsia="Times New Roman" w:cs="Arial"/>
                <w:color w:val="000000"/>
                <w:sz w:val="18"/>
                <w:szCs w:val="18"/>
                <w:lang w:eastAsia="en-AU"/>
              </w:rPr>
              <w:t>, 5 residents</w:t>
            </w:r>
          </w:p>
        </w:tc>
        <w:tc>
          <w:tcPr>
            <w:tcW w:w="537" w:type="dxa"/>
            <w:tcBorders>
              <w:top w:val="single" w:sz="4" w:space="0" w:color="7030A0"/>
              <w:bottom w:val="single" w:sz="4" w:space="0" w:color="7030A0"/>
            </w:tcBorders>
            <w:vAlign w:val="center"/>
          </w:tcPr>
          <w:p w:rsidR="001B1850" w:rsidRPr="004C01F6" w:rsidRDefault="001B1850" w:rsidP="001B1850">
            <w:pPr>
              <w:spacing w:after="0"/>
              <w:jc w:val="center"/>
              <w:rPr>
                <w:rFonts w:cs="Arial"/>
                <w:sz w:val="18"/>
                <w:szCs w:val="18"/>
              </w:rPr>
            </w:pPr>
            <w:r w:rsidRPr="004C01F6">
              <w:rPr>
                <w:rFonts w:cs="Arial"/>
                <w:sz w:val="18"/>
                <w:szCs w:val="18"/>
              </w:rPr>
              <w:t>na</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$320,000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$330,000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$460,000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$480,000</w:t>
            </w:r>
          </w:p>
        </w:tc>
        <w:tc>
          <w:tcPr>
            <w:tcW w:w="1167"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$550,000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$570,000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$590,000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$760,000</w:t>
            </w:r>
          </w:p>
        </w:tc>
        <w:tc>
          <w:tcPr>
            <w:tcW w:w="1225" w:type="dxa"/>
            <w:tcBorders>
              <w:top w:val="single" w:sz="4" w:space="0" w:color="7030A0"/>
              <w:bottom w:val="single" w:sz="4" w:space="0" w:color="7030A0"/>
              <w:right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$790,000</w:t>
            </w:r>
          </w:p>
        </w:tc>
      </w:tr>
    </w:tbl>
    <w:p w:rsidR="00163E7E" w:rsidRDefault="00163E7E" w:rsidP="00163E7E"/>
    <w:p w:rsidR="00345518" w:rsidRPr="007B7D09" w:rsidRDefault="00345518" w:rsidP="00345518">
      <w:pPr>
        <w:spacing w:after="0"/>
        <w:rPr>
          <w:sz w:val="18"/>
        </w:rPr>
      </w:pPr>
      <w:r w:rsidRPr="007B7D09">
        <w:rPr>
          <w:sz w:val="18"/>
        </w:rPr>
        <w:t>OOA</w:t>
      </w:r>
      <w:r w:rsidRPr="007B7D09">
        <w:rPr>
          <w:sz w:val="18"/>
        </w:rPr>
        <w:tab/>
      </w:r>
      <w:r w:rsidRPr="007B7D09">
        <w:rPr>
          <w:sz w:val="18"/>
        </w:rPr>
        <w:tab/>
        <w:t>On-site overnight assistance</w:t>
      </w:r>
    </w:p>
    <w:p w:rsidR="00345518" w:rsidRPr="004C01F6" w:rsidRDefault="00345518" w:rsidP="00345518">
      <w:pPr>
        <w:spacing w:after="0"/>
        <w:rPr>
          <w:sz w:val="18"/>
        </w:rPr>
      </w:pPr>
      <w:r w:rsidRPr="004C01F6">
        <w:rPr>
          <w:sz w:val="18"/>
        </w:rPr>
        <w:t>+1 Room</w:t>
      </w:r>
      <w:r w:rsidRPr="004C01F6">
        <w:rPr>
          <w:sz w:val="18"/>
        </w:rPr>
        <w:tab/>
        <w:t>Additional breakout room</w:t>
      </w:r>
    </w:p>
    <w:p w:rsidR="00163E7E" w:rsidRPr="008760E0" w:rsidRDefault="00163E7E" w:rsidP="00163E7E"/>
    <w:p w:rsidR="00163E7E" w:rsidRPr="008760E0" w:rsidRDefault="00163E7E" w:rsidP="00163E7E">
      <w:pPr>
        <w:sectPr w:rsidR="00163E7E" w:rsidRPr="008760E0" w:rsidSect="000E68B6">
          <w:pgSz w:w="16838" w:h="11906" w:orient="landscape"/>
          <w:pgMar w:top="720" w:right="567" w:bottom="720" w:left="567" w:header="709" w:footer="709" w:gutter="0"/>
          <w:cols w:space="708"/>
          <w:titlePg/>
          <w:docGrid w:linePitch="360"/>
        </w:sectPr>
      </w:pPr>
    </w:p>
    <w:p w:rsidR="00790DB8" w:rsidRPr="002133E3" w:rsidRDefault="00790DB8" w:rsidP="000F5127">
      <w:pPr>
        <w:pStyle w:val="Heading2"/>
      </w:pPr>
      <w:bookmarkStart w:id="33" w:name="_Toc477352079"/>
      <w:r w:rsidRPr="002133E3">
        <w:t xml:space="preserve">Step </w:t>
      </w:r>
      <w:r w:rsidR="005A5395">
        <w:t>2</w:t>
      </w:r>
      <w:r w:rsidRPr="002133E3">
        <w:t xml:space="preserve">: </w:t>
      </w:r>
      <w:r w:rsidR="005A5395">
        <w:t>B</w:t>
      </w:r>
      <w:r w:rsidRPr="002133E3">
        <w:t xml:space="preserve">ase </w:t>
      </w:r>
      <w:r w:rsidR="005A5395">
        <w:t>P</w:t>
      </w:r>
      <w:r w:rsidRPr="002133E3">
        <w:t>rice</w:t>
      </w:r>
      <w:bookmarkEnd w:id="33"/>
    </w:p>
    <w:p w:rsidR="00252911" w:rsidRDefault="002C1265" w:rsidP="00D105DE">
      <w:pPr>
        <w:rPr>
          <w:rFonts w:eastAsia="Times New Roman" w:cs="Arial"/>
          <w:szCs w:val="18"/>
          <w:lang w:val="en"/>
        </w:rPr>
      </w:pPr>
      <w:r>
        <w:rPr>
          <w:rFonts w:eastAsia="Times New Roman" w:cs="Arial"/>
          <w:szCs w:val="18"/>
          <w:lang w:val="en"/>
        </w:rPr>
        <w:t xml:space="preserve">The </w:t>
      </w:r>
      <w:r w:rsidR="005A5395">
        <w:rPr>
          <w:rFonts w:eastAsia="Times New Roman" w:cs="Arial"/>
          <w:szCs w:val="18"/>
          <w:lang w:val="en"/>
        </w:rPr>
        <w:t>B</w:t>
      </w:r>
      <w:r w:rsidR="00F60944">
        <w:rPr>
          <w:rFonts w:eastAsia="Times New Roman" w:cs="Arial"/>
          <w:szCs w:val="18"/>
          <w:lang w:val="en"/>
        </w:rPr>
        <w:t xml:space="preserve">ase </w:t>
      </w:r>
      <w:r w:rsidR="005A5395">
        <w:rPr>
          <w:rFonts w:eastAsia="Times New Roman" w:cs="Arial"/>
          <w:szCs w:val="18"/>
          <w:lang w:val="en"/>
        </w:rPr>
        <w:t>P</w:t>
      </w:r>
      <w:r w:rsidR="00F60944">
        <w:rPr>
          <w:rFonts w:eastAsia="Times New Roman" w:cs="Arial"/>
          <w:szCs w:val="18"/>
          <w:lang w:val="en"/>
        </w:rPr>
        <w:t xml:space="preserve">rice </w:t>
      </w:r>
      <w:r w:rsidR="00F61C07">
        <w:rPr>
          <w:rFonts w:eastAsia="Times New Roman" w:cs="Arial"/>
          <w:szCs w:val="18"/>
          <w:lang w:val="en"/>
        </w:rPr>
        <w:t>for an SDA dwelling</w:t>
      </w:r>
      <w:r w:rsidR="00F60944">
        <w:rPr>
          <w:rFonts w:eastAsia="Times New Roman" w:cs="Arial"/>
          <w:szCs w:val="18"/>
          <w:lang w:val="en"/>
        </w:rPr>
        <w:t xml:space="preserve"> </w:t>
      </w:r>
      <w:r>
        <w:rPr>
          <w:rFonts w:eastAsia="Times New Roman" w:cs="Arial"/>
          <w:szCs w:val="18"/>
          <w:lang w:val="en"/>
        </w:rPr>
        <w:t xml:space="preserve">is determined in </w:t>
      </w:r>
      <w:r w:rsidR="00C11814">
        <w:rPr>
          <w:rFonts w:eastAsia="Times New Roman" w:cs="Arial"/>
          <w:szCs w:val="18"/>
          <w:lang w:val="en"/>
        </w:rPr>
        <w:t>four</w:t>
      </w:r>
      <w:r w:rsidR="00F60944">
        <w:rPr>
          <w:rFonts w:eastAsia="Times New Roman" w:cs="Arial"/>
          <w:szCs w:val="18"/>
          <w:lang w:val="en"/>
        </w:rPr>
        <w:t xml:space="preserve"> steps:</w:t>
      </w:r>
    </w:p>
    <w:p w:rsidR="002C1265" w:rsidRDefault="002C1265" w:rsidP="002C1265">
      <w:pPr>
        <w:pStyle w:val="ListParagraph"/>
        <w:numPr>
          <w:ilvl w:val="0"/>
          <w:numId w:val="7"/>
        </w:numPr>
        <w:rPr>
          <w:rFonts w:eastAsia="Times New Roman" w:cs="Arial"/>
          <w:szCs w:val="18"/>
          <w:lang w:val="en"/>
        </w:rPr>
      </w:pPr>
      <w:r>
        <w:rPr>
          <w:rFonts w:eastAsia="Times New Roman" w:cs="Arial"/>
          <w:szCs w:val="18"/>
          <w:lang w:val="en"/>
        </w:rPr>
        <w:t xml:space="preserve">Step 2A - </w:t>
      </w:r>
      <w:r w:rsidR="00D72488">
        <w:rPr>
          <w:rFonts w:eastAsia="Times New Roman" w:cs="Arial"/>
          <w:szCs w:val="18"/>
          <w:lang w:val="en"/>
        </w:rPr>
        <w:t>I</w:t>
      </w:r>
      <w:r>
        <w:rPr>
          <w:rFonts w:eastAsia="Times New Roman" w:cs="Arial"/>
          <w:szCs w:val="18"/>
          <w:lang w:val="en"/>
        </w:rPr>
        <w:t xml:space="preserve">dentify the </w:t>
      </w:r>
      <w:r w:rsidR="00D72488">
        <w:rPr>
          <w:rFonts w:eastAsia="Times New Roman" w:cs="Arial"/>
          <w:szCs w:val="18"/>
          <w:lang w:val="en"/>
        </w:rPr>
        <w:t>B</w:t>
      </w:r>
      <w:r>
        <w:rPr>
          <w:rFonts w:eastAsia="Times New Roman" w:cs="Arial"/>
          <w:szCs w:val="18"/>
          <w:lang w:val="en"/>
        </w:rPr>
        <w:t xml:space="preserve">uilding </w:t>
      </w:r>
      <w:r w:rsidR="00D72488">
        <w:rPr>
          <w:rFonts w:eastAsia="Times New Roman" w:cs="Arial"/>
          <w:szCs w:val="18"/>
          <w:lang w:val="en"/>
        </w:rPr>
        <w:t>T</w:t>
      </w:r>
      <w:r>
        <w:rPr>
          <w:rFonts w:eastAsia="Times New Roman" w:cs="Arial"/>
          <w:szCs w:val="18"/>
          <w:lang w:val="en"/>
        </w:rPr>
        <w:t>ype</w:t>
      </w:r>
    </w:p>
    <w:p w:rsidR="002C1265" w:rsidRDefault="002C1265" w:rsidP="002C1265">
      <w:pPr>
        <w:pStyle w:val="ListParagraph"/>
        <w:numPr>
          <w:ilvl w:val="0"/>
          <w:numId w:val="7"/>
        </w:numPr>
        <w:rPr>
          <w:rFonts w:eastAsia="Times New Roman" w:cs="Arial"/>
          <w:szCs w:val="18"/>
          <w:lang w:val="en"/>
        </w:rPr>
      </w:pPr>
      <w:r>
        <w:rPr>
          <w:rFonts w:eastAsia="Times New Roman" w:cs="Arial"/>
          <w:szCs w:val="18"/>
          <w:lang w:val="en"/>
        </w:rPr>
        <w:t xml:space="preserve">Step 2B - </w:t>
      </w:r>
      <w:r w:rsidR="00D72488">
        <w:rPr>
          <w:rFonts w:eastAsia="Times New Roman" w:cs="Arial"/>
          <w:szCs w:val="18"/>
          <w:lang w:val="en"/>
        </w:rPr>
        <w:t>I</w:t>
      </w:r>
      <w:r>
        <w:rPr>
          <w:rFonts w:eastAsia="Times New Roman" w:cs="Arial"/>
          <w:szCs w:val="18"/>
          <w:lang w:val="en"/>
        </w:rPr>
        <w:t xml:space="preserve">dentify the </w:t>
      </w:r>
      <w:r w:rsidR="00D72488">
        <w:rPr>
          <w:rFonts w:eastAsia="Times New Roman" w:cs="Arial"/>
          <w:szCs w:val="18"/>
          <w:lang w:val="en"/>
        </w:rPr>
        <w:t>D</w:t>
      </w:r>
      <w:r>
        <w:rPr>
          <w:rFonts w:eastAsia="Times New Roman" w:cs="Arial"/>
          <w:szCs w:val="18"/>
          <w:lang w:val="en"/>
        </w:rPr>
        <w:t xml:space="preserve">esign </w:t>
      </w:r>
      <w:r w:rsidR="00D72488">
        <w:rPr>
          <w:rFonts w:eastAsia="Times New Roman" w:cs="Arial"/>
          <w:szCs w:val="18"/>
          <w:lang w:val="en"/>
        </w:rPr>
        <w:t>C</w:t>
      </w:r>
      <w:r>
        <w:rPr>
          <w:rFonts w:eastAsia="Times New Roman" w:cs="Arial"/>
          <w:szCs w:val="18"/>
          <w:lang w:val="en"/>
        </w:rPr>
        <w:t>ategory</w:t>
      </w:r>
    </w:p>
    <w:p w:rsidR="002C1265" w:rsidRDefault="002C1265" w:rsidP="002C1265">
      <w:pPr>
        <w:pStyle w:val="ListParagraph"/>
        <w:numPr>
          <w:ilvl w:val="0"/>
          <w:numId w:val="7"/>
        </w:numPr>
        <w:rPr>
          <w:rFonts w:eastAsia="Times New Roman" w:cs="Arial"/>
          <w:szCs w:val="18"/>
          <w:lang w:val="en"/>
        </w:rPr>
      </w:pPr>
      <w:r>
        <w:rPr>
          <w:rFonts w:eastAsia="Times New Roman" w:cs="Arial"/>
          <w:szCs w:val="18"/>
          <w:lang w:val="en"/>
        </w:rPr>
        <w:t xml:space="preserve">Step 2C - </w:t>
      </w:r>
      <w:r w:rsidR="00D72488">
        <w:rPr>
          <w:rFonts w:eastAsia="Times New Roman" w:cs="Arial"/>
          <w:szCs w:val="18"/>
          <w:lang w:val="en"/>
        </w:rPr>
        <w:t>I</w:t>
      </w:r>
      <w:r>
        <w:rPr>
          <w:rFonts w:eastAsia="Times New Roman" w:cs="Arial"/>
          <w:szCs w:val="18"/>
          <w:lang w:val="en"/>
        </w:rPr>
        <w:t>dentify if there is a room for On-Site Overnight Assistance (OOA)</w:t>
      </w:r>
    </w:p>
    <w:p w:rsidR="002C1265" w:rsidRDefault="002C1265" w:rsidP="002C1265">
      <w:pPr>
        <w:pStyle w:val="ListParagraph"/>
        <w:numPr>
          <w:ilvl w:val="0"/>
          <w:numId w:val="7"/>
        </w:numPr>
        <w:rPr>
          <w:rFonts w:eastAsia="Times New Roman" w:cs="Arial"/>
          <w:szCs w:val="18"/>
          <w:lang w:val="en"/>
        </w:rPr>
      </w:pPr>
      <w:r>
        <w:rPr>
          <w:rFonts w:eastAsia="Times New Roman" w:cs="Arial"/>
          <w:szCs w:val="18"/>
          <w:lang w:val="en"/>
        </w:rPr>
        <w:t xml:space="preserve">Step 2D </w:t>
      </w:r>
      <w:r w:rsidR="002C59FD">
        <w:rPr>
          <w:rFonts w:eastAsia="Times New Roman" w:cs="Arial"/>
          <w:szCs w:val="18"/>
          <w:lang w:val="en"/>
        </w:rPr>
        <w:t>-</w:t>
      </w:r>
      <w:r>
        <w:rPr>
          <w:rFonts w:eastAsia="Times New Roman" w:cs="Arial"/>
          <w:szCs w:val="18"/>
          <w:lang w:val="en"/>
        </w:rPr>
        <w:t xml:space="preserve"> Identify if there is an additional breakout room (Robust design dwellings only)</w:t>
      </w:r>
      <w:r w:rsidR="00D72488">
        <w:rPr>
          <w:rFonts w:eastAsia="Times New Roman" w:cs="Arial"/>
          <w:szCs w:val="18"/>
          <w:lang w:val="en"/>
        </w:rPr>
        <w:t>.</w:t>
      </w:r>
    </w:p>
    <w:p w:rsidR="003427E4" w:rsidRPr="002C1265" w:rsidRDefault="00790DB8" w:rsidP="00EC298B">
      <w:pPr>
        <w:pStyle w:val="Heading3"/>
        <w:rPr>
          <w:rFonts w:eastAsia="Times New Roman"/>
          <w:lang w:val="en"/>
        </w:rPr>
      </w:pPr>
      <w:r w:rsidRPr="002C1265">
        <w:rPr>
          <w:rFonts w:eastAsia="Times New Roman"/>
          <w:lang w:val="en"/>
        </w:rPr>
        <w:t xml:space="preserve">Step </w:t>
      </w:r>
      <w:r w:rsidR="005A5395" w:rsidRPr="002C1265">
        <w:rPr>
          <w:rFonts w:eastAsia="Times New Roman"/>
          <w:lang w:val="en"/>
        </w:rPr>
        <w:t>2</w:t>
      </w:r>
      <w:r w:rsidRPr="002C1265">
        <w:rPr>
          <w:rFonts w:eastAsia="Times New Roman"/>
          <w:lang w:val="en"/>
        </w:rPr>
        <w:t xml:space="preserve">A: Building </w:t>
      </w:r>
      <w:r w:rsidR="00205405">
        <w:rPr>
          <w:rFonts w:eastAsia="Times New Roman"/>
          <w:lang w:val="en"/>
        </w:rPr>
        <w:t>T</w:t>
      </w:r>
      <w:r w:rsidRPr="002C1265">
        <w:rPr>
          <w:rFonts w:eastAsia="Times New Roman"/>
          <w:lang w:val="en"/>
        </w:rPr>
        <w:t>ype</w:t>
      </w:r>
    </w:p>
    <w:p w:rsidR="001D3FA8" w:rsidRDefault="00F91E83" w:rsidP="00F91E83">
      <w:pPr>
        <w:spacing w:after="120"/>
        <w:rPr>
          <w:szCs w:val="24"/>
        </w:rPr>
      </w:pPr>
      <w:r>
        <w:rPr>
          <w:szCs w:val="24"/>
        </w:rPr>
        <w:t xml:space="preserve">Dwellings are enrolled according to the </w:t>
      </w:r>
      <w:r w:rsidR="001D3FA8">
        <w:rPr>
          <w:szCs w:val="24"/>
        </w:rPr>
        <w:t>B</w:t>
      </w:r>
      <w:r>
        <w:rPr>
          <w:szCs w:val="24"/>
        </w:rPr>
        <w:t xml:space="preserve">uilding </w:t>
      </w:r>
      <w:r w:rsidR="001D3FA8">
        <w:rPr>
          <w:szCs w:val="24"/>
        </w:rPr>
        <w:t>T</w:t>
      </w:r>
      <w:r>
        <w:rPr>
          <w:szCs w:val="24"/>
        </w:rPr>
        <w:t xml:space="preserve">ype specified by the </w:t>
      </w:r>
      <w:r w:rsidR="007B5ABF">
        <w:rPr>
          <w:szCs w:val="24"/>
        </w:rPr>
        <w:t>r</w:t>
      </w:r>
      <w:r>
        <w:rPr>
          <w:szCs w:val="24"/>
        </w:rPr>
        <w:t xml:space="preserve">egistered </w:t>
      </w:r>
      <w:r w:rsidR="007B5ABF">
        <w:rPr>
          <w:szCs w:val="24"/>
        </w:rPr>
        <w:t>p</w:t>
      </w:r>
      <w:r>
        <w:rPr>
          <w:szCs w:val="24"/>
        </w:rPr>
        <w:t xml:space="preserve">rovider and the amount of the SDA price paid for the dwelling depends on the </w:t>
      </w:r>
      <w:r w:rsidR="001D3FA8">
        <w:rPr>
          <w:szCs w:val="24"/>
        </w:rPr>
        <w:t>B</w:t>
      </w:r>
      <w:r>
        <w:rPr>
          <w:szCs w:val="24"/>
        </w:rPr>
        <w:t xml:space="preserve">uilding </w:t>
      </w:r>
      <w:r w:rsidR="001D3FA8">
        <w:rPr>
          <w:szCs w:val="24"/>
        </w:rPr>
        <w:t>T</w:t>
      </w:r>
      <w:r>
        <w:rPr>
          <w:szCs w:val="24"/>
        </w:rPr>
        <w:t xml:space="preserve">ype </w:t>
      </w:r>
      <w:r w:rsidR="001D3FA8">
        <w:rPr>
          <w:szCs w:val="24"/>
        </w:rPr>
        <w:t xml:space="preserve">under which the dwelling is </w:t>
      </w:r>
      <w:r>
        <w:rPr>
          <w:szCs w:val="24"/>
        </w:rPr>
        <w:t xml:space="preserve">enrolled.  </w:t>
      </w:r>
    </w:p>
    <w:p w:rsidR="001D3FA8" w:rsidRDefault="001D3FA8" w:rsidP="00F91E83">
      <w:pPr>
        <w:spacing w:after="120"/>
        <w:rPr>
          <w:szCs w:val="24"/>
        </w:rPr>
      </w:pPr>
      <w:r>
        <w:rPr>
          <w:szCs w:val="24"/>
        </w:rPr>
        <w:t>Providers must ensure that a dwelling is correctly enrolled and claims for payment are correctly made.  If a dwelling does not meet the requirements of the Building Type for which the dwelling is enrolled and for which SDA is claimed</w:t>
      </w:r>
      <w:r w:rsidR="002C59FD">
        <w:rPr>
          <w:szCs w:val="24"/>
        </w:rPr>
        <w:t>,</w:t>
      </w:r>
      <w:r>
        <w:rPr>
          <w:szCs w:val="24"/>
        </w:rPr>
        <w:t xml:space="preserve"> SDA payments cannot be paid for the dwelling and the enrolment will be cancelled.</w:t>
      </w:r>
    </w:p>
    <w:p w:rsidR="00F91E83" w:rsidRDefault="00F91E83" w:rsidP="00F91E83">
      <w:pPr>
        <w:spacing w:after="120"/>
        <w:rPr>
          <w:szCs w:val="24"/>
        </w:rPr>
      </w:pPr>
      <w:r>
        <w:t xml:space="preserve">Registered </w:t>
      </w:r>
      <w:r w:rsidR="007B5ABF">
        <w:t>p</w:t>
      </w:r>
      <w:r>
        <w:t>roviders are required to notify the NDIA within 5 working days if there is a change in the dwelling</w:t>
      </w:r>
      <w:r w:rsidR="002C59FD">
        <w:t>’</w:t>
      </w:r>
      <w:r>
        <w:t xml:space="preserve">s </w:t>
      </w:r>
      <w:r w:rsidR="002C59FD">
        <w:t>B</w:t>
      </w:r>
      <w:r>
        <w:t xml:space="preserve">uilding </w:t>
      </w:r>
      <w:r w:rsidR="002C59FD">
        <w:t>T</w:t>
      </w:r>
      <w:r>
        <w:t xml:space="preserve">ype (SDA Rule 7.21) or if the </w:t>
      </w:r>
      <w:r w:rsidR="002C59FD">
        <w:t>B</w:t>
      </w:r>
      <w:r>
        <w:t xml:space="preserve">uilding </w:t>
      </w:r>
      <w:r w:rsidR="002C59FD">
        <w:t>T</w:t>
      </w:r>
      <w:r>
        <w:t xml:space="preserve">ype </w:t>
      </w:r>
      <w:r w:rsidR="001D3FA8">
        <w:t xml:space="preserve">is </w:t>
      </w:r>
      <w:r>
        <w:t>likely to change (SDA Rule 7.23)</w:t>
      </w:r>
      <w:r w:rsidR="001D3FA8">
        <w:t>.</w:t>
      </w:r>
    </w:p>
    <w:p w:rsidR="00E01902" w:rsidRPr="007216D4" w:rsidRDefault="00DF0A1A" w:rsidP="0098052E">
      <w:pPr>
        <w:spacing w:after="120"/>
        <w:rPr>
          <w:bCs/>
        </w:rPr>
      </w:pPr>
      <w:r>
        <w:t xml:space="preserve">SDA Rule 4.5 </w:t>
      </w:r>
      <w:r w:rsidR="002C59FD">
        <w:t xml:space="preserve">provides </w:t>
      </w:r>
      <w:r w:rsidR="001B1850">
        <w:t>descriptions</w:t>
      </w:r>
      <w:r w:rsidR="002C59FD">
        <w:t xml:space="preserve"> in relation to </w:t>
      </w:r>
      <w:r>
        <w:t xml:space="preserve">five Building </w:t>
      </w:r>
      <w:r w:rsidR="002C59FD">
        <w:t>T</w:t>
      </w:r>
      <w:r>
        <w:t>ypes</w:t>
      </w:r>
      <w:r w:rsidR="002C59FD">
        <w:t>.</w:t>
      </w:r>
      <w:r>
        <w:t xml:space="preserve"> </w:t>
      </w:r>
      <w:r w:rsidR="002C59FD">
        <w:t>T</w:t>
      </w:r>
      <w:r>
        <w:t xml:space="preserve">his Price Guide </w:t>
      </w:r>
      <w:r w:rsidR="002C59FD">
        <w:t>provides more</w:t>
      </w:r>
      <w:r>
        <w:t xml:space="preserve"> detail </w:t>
      </w:r>
      <w:r w:rsidR="002C59FD">
        <w:t xml:space="preserve">in relation </w:t>
      </w:r>
      <w:r>
        <w:t xml:space="preserve">to some of those </w:t>
      </w:r>
      <w:r w:rsidR="001B1850">
        <w:t>descriptions</w:t>
      </w:r>
      <w:r>
        <w:t xml:space="preserve">.  SDA prices </w:t>
      </w:r>
      <w:r w:rsidR="00C9615C">
        <w:t xml:space="preserve">differ depending on the </w:t>
      </w:r>
      <w:r>
        <w:t>number of residents and number of bedrooms</w:t>
      </w:r>
      <w:r w:rsidR="0098052E">
        <w:t>.  A</w:t>
      </w:r>
      <w:r w:rsidR="00E01902">
        <w:rPr>
          <w:bCs/>
        </w:rPr>
        <w:t>n</w:t>
      </w:r>
      <w:r w:rsidR="00E01902" w:rsidRPr="007216D4">
        <w:rPr>
          <w:bCs/>
        </w:rPr>
        <w:t xml:space="preserve"> </w:t>
      </w:r>
      <w:r w:rsidR="00E01902">
        <w:rPr>
          <w:bCs/>
        </w:rPr>
        <w:t>On-site Overnight Assistance (</w:t>
      </w:r>
      <w:r w:rsidR="00E01902" w:rsidRPr="007216D4">
        <w:rPr>
          <w:bCs/>
        </w:rPr>
        <w:t>OOA</w:t>
      </w:r>
      <w:r w:rsidR="00E01902">
        <w:rPr>
          <w:bCs/>
        </w:rPr>
        <w:t>)</w:t>
      </w:r>
      <w:r w:rsidR="00E01902" w:rsidRPr="007216D4">
        <w:rPr>
          <w:bCs/>
        </w:rPr>
        <w:t xml:space="preserve"> </w:t>
      </w:r>
      <w:r w:rsidR="00E01902">
        <w:rPr>
          <w:bCs/>
        </w:rPr>
        <w:t xml:space="preserve">room </w:t>
      </w:r>
      <w:r w:rsidR="00E01902" w:rsidRPr="007216D4">
        <w:rPr>
          <w:bCs/>
        </w:rPr>
        <w:t>is not a bedroom</w:t>
      </w:r>
      <w:r w:rsidR="0098052E">
        <w:rPr>
          <w:bCs/>
        </w:rPr>
        <w:t xml:space="preserve"> (see Step 2C)</w:t>
      </w:r>
      <w:r w:rsidR="00E01902" w:rsidRPr="007216D4">
        <w:rPr>
          <w:bCs/>
        </w:rPr>
        <w:t>.</w:t>
      </w:r>
    </w:p>
    <w:p w:rsidR="0098052E" w:rsidRDefault="0098052E" w:rsidP="0098052E">
      <w:pPr>
        <w:rPr>
          <w:bCs/>
        </w:rPr>
      </w:pPr>
      <w:r w:rsidRPr="007216D4">
        <w:rPr>
          <w:bCs/>
        </w:rPr>
        <w:t>The maximum number of residents includes both par</w:t>
      </w:r>
      <w:r>
        <w:rPr>
          <w:bCs/>
        </w:rPr>
        <w:t>ticipants (who may or may not have SDA in their plans) and any other residents being accommodated at the dwelling.</w:t>
      </w:r>
    </w:p>
    <w:p w:rsidR="00095AF8" w:rsidRDefault="00095AF8" w:rsidP="00AA691B">
      <w:pPr>
        <w:spacing w:after="120"/>
      </w:pPr>
      <w:r>
        <w:t>The complete list o</w:t>
      </w:r>
      <w:r w:rsidR="008F7160">
        <w:t xml:space="preserve">f </w:t>
      </w:r>
      <w:r w:rsidR="00DF0A1A">
        <w:t>B</w:t>
      </w:r>
      <w:r w:rsidR="008F7160">
        <w:t xml:space="preserve">uilding </w:t>
      </w:r>
      <w:r w:rsidR="00DF0A1A">
        <w:t>T</w:t>
      </w:r>
      <w:r w:rsidR="008F7160">
        <w:t xml:space="preserve">ypes </w:t>
      </w:r>
      <w:r w:rsidR="00DF0A1A">
        <w:t xml:space="preserve">for which there are separate SDA prices </w:t>
      </w:r>
      <w:r w:rsidR="00A0788C">
        <w:t>is</w:t>
      </w:r>
      <w:r w:rsidR="00DF0A1A">
        <w:t>:</w:t>
      </w:r>
    </w:p>
    <w:p w:rsidR="003002FE" w:rsidRDefault="003002FE" w:rsidP="00AA691B">
      <w:pPr>
        <w:pStyle w:val="ListParagraph"/>
        <w:numPr>
          <w:ilvl w:val="0"/>
          <w:numId w:val="17"/>
        </w:numPr>
        <w:spacing w:after="120"/>
        <w:ind w:left="714" w:hanging="357"/>
        <w:contextualSpacing w:val="0"/>
      </w:pPr>
      <w:r>
        <w:t>Apartment, 1 bedroom, 1 resident</w:t>
      </w:r>
    </w:p>
    <w:p w:rsidR="003002FE" w:rsidRDefault="003002FE" w:rsidP="00AA691B">
      <w:pPr>
        <w:pStyle w:val="ListParagraph"/>
        <w:numPr>
          <w:ilvl w:val="0"/>
          <w:numId w:val="17"/>
        </w:numPr>
        <w:spacing w:after="120"/>
        <w:ind w:left="714" w:hanging="357"/>
        <w:contextualSpacing w:val="0"/>
      </w:pPr>
      <w:r>
        <w:t>Apartment, 2 bedrooms, 1 resident</w:t>
      </w:r>
    </w:p>
    <w:p w:rsidR="00C9615C" w:rsidRDefault="00C9615C" w:rsidP="00C9615C">
      <w:pPr>
        <w:pStyle w:val="ListParagraph"/>
        <w:numPr>
          <w:ilvl w:val="0"/>
          <w:numId w:val="17"/>
        </w:numPr>
        <w:spacing w:after="120"/>
        <w:ind w:left="714" w:hanging="357"/>
        <w:contextualSpacing w:val="0"/>
      </w:pPr>
      <w:r>
        <w:t>Apartment, 2 bedrooms, 2 residents</w:t>
      </w:r>
    </w:p>
    <w:p w:rsidR="003002FE" w:rsidRDefault="003002FE" w:rsidP="00AA691B">
      <w:pPr>
        <w:pStyle w:val="ListParagraph"/>
        <w:numPr>
          <w:ilvl w:val="0"/>
          <w:numId w:val="17"/>
        </w:numPr>
        <w:spacing w:after="120"/>
        <w:ind w:left="714" w:hanging="357"/>
        <w:contextualSpacing w:val="0"/>
      </w:pPr>
      <w:r>
        <w:t>Apartment, 3 bedrooms, 2 residents</w:t>
      </w:r>
    </w:p>
    <w:p w:rsidR="003002FE" w:rsidRDefault="003002FE" w:rsidP="00AA691B">
      <w:pPr>
        <w:pStyle w:val="ListParagraph"/>
        <w:numPr>
          <w:ilvl w:val="0"/>
          <w:numId w:val="17"/>
        </w:numPr>
        <w:spacing w:after="120"/>
        <w:ind w:left="714" w:hanging="357"/>
        <w:contextualSpacing w:val="0"/>
      </w:pPr>
      <w:r>
        <w:t>Villa</w:t>
      </w:r>
      <w:r w:rsidR="00C9615C">
        <w:t>/duplex/townhouse</w:t>
      </w:r>
      <w:r>
        <w:t>, 1 resident</w:t>
      </w:r>
    </w:p>
    <w:p w:rsidR="003002FE" w:rsidRDefault="00C9615C" w:rsidP="00AA691B">
      <w:pPr>
        <w:pStyle w:val="ListParagraph"/>
        <w:numPr>
          <w:ilvl w:val="0"/>
          <w:numId w:val="17"/>
        </w:numPr>
        <w:spacing w:after="120"/>
        <w:ind w:left="714" w:hanging="357"/>
        <w:contextualSpacing w:val="0"/>
      </w:pPr>
      <w:r>
        <w:t>Villa/d</w:t>
      </w:r>
      <w:r w:rsidR="003002FE">
        <w:t>uplex/townhouse, 2 residents</w:t>
      </w:r>
    </w:p>
    <w:p w:rsidR="003002FE" w:rsidRDefault="00C9615C" w:rsidP="00AA691B">
      <w:pPr>
        <w:pStyle w:val="ListParagraph"/>
        <w:numPr>
          <w:ilvl w:val="0"/>
          <w:numId w:val="17"/>
        </w:numPr>
        <w:spacing w:after="120"/>
        <w:ind w:left="714" w:hanging="357"/>
        <w:contextualSpacing w:val="0"/>
      </w:pPr>
      <w:r>
        <w:t>Villa/d</w:t>
      </w:r>
      <w:r w:rsidR="003002FE">
        <w:t>uplex/townhouse, 3 residents</w:t>
      </w:r>
    </w:p>
    <w:p w:rsidR="003002FE" w:rsidRDefault="003002FE" w:rsidP="00AA691B">
      <w:pPr>
        <w:pStyle w:val="ListParagraph"/>
        <w:numPr>
          <w:ilvl w:val="0"/>
          <w:numId w:val="17"/>
        </w:numPr>
        <w:spacing w:after="120"/>
        <w:ind w:left="714" w:hanging="357"/>
        <w:contextualSpacing w:val="0"/>
      </w:pPr>
      <w:r>
        <w:t>House, 2 residents</w:t>
      </w:r>
    </w:p>
    <w:p w:rsidR="003002FE" w:rsidRDefault="003002FE" w:rsidP="00AA691B">
      <w:pPr>
        <w:pStyle w:val="ListParagraph"/>
        <w:numPr>
          <w:ilvl w:val="0"/>
          <w:numId w:val="17"/>
        </w:numPr>
        <w:spacing w:after="120"/>
        <w:ind w:left="714" w:hanging="357"/>
        <w:contextualSpacing w:val="0"/>
      </w:pPr>
      <w:r>
        <w:t>House, 3 residents</w:t>
      </w:r>
    </w:p>
    <w:p w:rsidR="003002FE" w:rsidRDefault="003002FE" w:rsidP="00AA691B">
      <w:pPr>
        <w:pStyle w:val="ListParagraph"/>
        <w:numPr>
          <w:ilvl w:val="0"/>
          <w:numId w:val="17"/>
        </w:numPr>
        <w:spacing w:after="120"/>
        <w:ind w:left="714" w:hanging="357"/>
        <w:contextualSpacing w:val="0"/>
      </w:pPr>
      <w:r>
        <w:t>Group home, 4 residents</w:t>
      </w:r>
    </w:p>
    <w:p w:rsidR="003002FE" w:rsidRDefault="003002FE" w:rsidP="00AA691B">
      <w:pPr>
        <w:pStyle w:val="ListParagraph"/>
        <w:numPr>
          <w:ilvl w:val="0"/>
          <w:numId w:val="17"/>
        </w:numPr>
        <w:spacing w:after="120"/>
        <w:ind w:left="714" w:hanging="357"/>
        <w:contextualSpacing w:val="0"/>
      </w:pPr>
      <w:r>
        <w:t>Group home, 5 residents</w:t>
      </w:r>
    </w:p>
    <w:p w:rsidR="00AC1CFC" w:rsidRDefault="003002FE" w:rsidP="00AA691B">
      <w:pPr>
        <w:pStyle w:val="ListParagraph"/>
        <w:numPr>
          <w:ilvl w:val="0"/>
          <w:numId w:val="17"/>
        </w:numPr>
        <w:spacing w:after="120"/>
        <w:ind w:left="714" w:hanging="357"/>
        <w:contextualSpacing w:val="0"/>
      </w:pPr>
      <w:r>
        <w:t>Legacy Stock, 6+ residents</w:t>
      </w:r>
      <w:r w:rsidR="00DF0A1A">
        <w:t>. The SDA price for Legacy Stock depends on the number of residents.</w:t>
      </w:r>
    </w:p>
    <w:p w:rsidR="00DF0A1A" w:rsidRPr="00DF0A1A" w:rsidRDefault="00DF0A1A" w:rsidP="00EC298B">
      <w:pPr>
        <w:pStyle w:val="Heading2"/>
      </w:pPr>
      <w:bookmarkStart w:id="34" w:name="_Toc477352080"/>
      <w:r w:rsidRPr="00DF0A1A">
        <w:t xml:space="preserve">Required </w:t>
      </w:r>
      <w:r w:rsidR="00DB6C8D">
        <w:t xml:space="preserve">elements </w:t>
      </w:r>
      <w:r w:rsidRPr="00DF0A1A">
        <w:t xml:space="preserve">of all </w:t>
      </w:r>
      <w:r w:rsidR="007B5ABF">
        <w:t>Building Types</w:t>
      </w:r>
      <w:bookmarkEnd w:id="34"/>
    </w:p>
    <w:p w:rsidR="00A560E2" w:rsidRDefault="00DB6C8D" w:rsidP="00AA691B">
      <w:pPr>
        <w:spacing w:before="360" w:after="120"/>
      </w:pPr>
      <w:r>
        <w:t>Dwellings of a</w:t>
      </w:r>
      <w:r w:rsidR="00DF0A1A">
        <w:t>ll B</w:t>
      </w:r>
      <w:r w:rsidR="00750875">
        <w:t xml:space="preserve">uilding </w:t>
      </w:r>
      <w:r w:rsidR="00DF0A1A">
        <w:t>T</w:t>
      </w:r>
      <w:r w:rsidR="00750875">
        <w:t>ype</w:t>
      </w:r>
      <w:r w:rsidR="00DF0A1A">
        <w:t xml:space="preserve">s </w:t>
      </w:r>
      <w:r w:rsidR="00A560E2">
        <w:t>must</w:t>
      </w:r>
      <w:r w:rsidR="00A560E2" w:rsidRPr="00D61527">
        <w:t>, a</w:t>
      </w:r>
      <w:r>
        <w:t>s</w:t>
      </w:r>
      <w:r w:rsidR="00A560E2" w:rsidRPr="00D61527">
        <w:t xml:space="preserve"> a minimum, contain</w:t>
      </w:r>
      <w:r>
        <w:t xml:space="preserve"> all of the following elements:</w:t>
      </w:r>
    </w:p>
    <w:p w:rsidR="00A560E2" w:rsidRDefault="00A560E2" w:rsidP="00AA691B">
      <w:pPr>
        <w:pStyle w:val="ListParagraph"/>
        <w:numPr>
          <w:ilvl w:val="0"/>
          <w:numId w:val="9"/>
        </w:numPr>
        <w:spacing w:after="120"/>
        <w:ind w:left="782" w:hanging="357"/>
        <w:contextualSpacing w:val="0"/>
      </w:pPr>
      <w:r w:rsidRPr="00D61527">
        <w:t xml:space="preserve">a kitchen, </w:t>
      </w:r>
    </w:p>
    <w:p w:rsidR="00A560E2" w:rsidRDefault="00A560E2" w:rsidP="00AA691B">
      <w:pPr>
        <w:pStyle w:val="ListParagraph"/>
        <w:numPr>
          <w:ilvl w:val="0"/>
          <w:numId w:val="9"/>
        </w:numPr>
        <w:spacing w:after="120"/>
        <w:ind w:left="782" w:hanging="357"/>
        <w:contextualSpacing w:val="0"/>
      </w:pPr>
      <w:r w:rsidRPr="00D61527">
        <w:t xml:space="preserve">bathroom, </w:t>
      </w:r>
    </w:p>
    <w:p w:rsidR="00A560E2" w:rsidRDefault="00A560E2" w:rsidP="00AA691B">
      <w:pPr>
        <w:pStyle w:val="ListParagraph"/>
        <w:numPr>
          <w:ilvl w:val="0"/>
          <w:numId w:val="9"/>
        </w:numPr>
        <w:spacing w:after="120"/>
        <w:ind w:left="782" w:hanging="357"/>
        <w:contextualSpacing w:val="0"/>
      </w:pPr>
      <w:r w:rsidRPr="00D61527">
        <w:t xml:space="preserve">living/dining area, </w:t>
      </w:r>
    </w:p>
    <w:p w:rsidR="00A560E2" w:rsidRDefault="00A560E2" w:rsidP="00AA691B">
      <w:pPr>
        <w:pStyle w:val="ListParagraph"/>
        <w:numPr>
          <w:ilvl w:val="0"/>
          <w:numId w:val="9"/>
        </w:numPr>
        <w:spacing w:after="120"/>
        <w:ind w:left="782" w:hanging="357"/>
        <w:contextualSpacing w:val="0"/>
      </w:pPr>
      <w:r w:rsidRPr="00D61527">
        <w:t>entrance/exit</w:t>
      </w:r>
      <w:r w:rsidR="00DB6C8D">
        <w:t>;</w:t>
      </w:r>
      <w:r w:rsidRPr="00D61527">
        <w:t xml:space="preserve"> and </w:t>
      </w:r>
    </w:p>
    <w:p w:rsidR="00A560E2" w:rsidRDefault="00A560E2" w:rsidP="00AA691B">
      <w:pPr>
        <w:pStyle w:val="ListParagraph"/>
        <w:numPr>
          <w:ilvl w:val="0"/>
          <w:numId w:val="9"/>
        </w:numPr>
        <w:ind w:left="782" w:hanging="357"/>
        <w:contextualSpacing w:val="0"/>
      </w:pPr>
      <w:r w:rsidRPr="00D61527">
        <w:t xml:space="preserve">at least one bedroom. </w:t>
      </w:r>
    </w:p>
    <w:p w:rsidR="00A560E2" w:rsidRPr="00EC298B" w:rsidRDefault="00EC298B" w:rsidP="00AA691B">
      <w:pPr>
        <w:ind w:left="67"/>
      </w:pPr>
      <w:r w:rsidRPr="00EC298B">
        <w:t>Dwellings that do not contain each of these elements cannot enrol as SDA or must be enrolled as part of a larger building type</w:t>
      </w:r>
      <w:r>
        <w:t>.</w:t>
      </w:r>
      <w:r w:rsidRPr="00EC298B">
        <w:t xml:space="preserve"> </w:t>
      </w:r>
      <w:r w:rsidR="00A560E2" w:rsidRPr="00EC298B">
        <w:t xml:space="preserve">Dwellings may contain more than one of each </w:t>
      </w:r>
      <w:r w:rsidR="00DB6C8D" w:rsidRPr="00EC298B">
        <w:t xml:space="preserve">of the </w:t>
      </w:r>
      <w:r w:rsidR="00A560E2" w:rsidRPr="00EC298B">
        <w:t>element</w:t>
      </w:r>
      <w:r w:rsidR="00DB6C8D" w:rsidRPr="00EC298B">
        <w:t>s</w:t>
      </w:r>
      <w:r w:rsidR="00A560E2" w:rsidRPr="00EC298B">
        <w:t>.</w:t>
      </w:r>
    </w:p>
    <w:p w:rsidR="00ED0573" w:rsidRDefault="00DB6C8D" w:rsidP="00DB6C8D">
      <w:pPr>
        <w:spacing w:after="120"/>
        <w:rPr>
          <w:szCs w:val="24"/>
        </w:rPr>
        <w:sectPr w:rsidR="00ED0573" w:rsidSect="00ED0573">
          <w:headerReference w:type="even" r:id="rId15"/>
          <w:headerReference w:type="default" r:id="rId16"/>
          <w:footerReference w:type="default" r:id="rId17"/>
          <w:headerReference w:type="first" r:id="rId18"/>
          <w:footerReference w:type="first" r:id="rId19"/>
          <w:pgSz w:w="11906" w:h="16838"/>
          <w:pgMar w:top="1418" w:right="720" w:bottom="567" w:left="1560" w:header="709" w:footer="709" w:gutter="0"/>
          <w:cols w:space="708"/>
          <w:titlePg/>
          <w:docGrid w:linePitch="360"/>
        </w:sectPr>
      </w:pPr>
      <w:r w:rsidRPr="00D07041">
        <w:rPr>
          <w:b/>
          <w:szCs w:val="24"/>
        </w:rPr>
        <w:t xml:space="preserve">Table </w:t>
      </w:r>
      <w:r>
        <w:rPr>
          <w:b/>
          <w:szCs w:val="24"/>
        </w:rPr>
        <w:t>3</w:t>
      </w:r>
      <w:r>
        <w:rPr>
          <w:szCs w:val="24"/>
        </w:rPr>
        <w:t xml:space="preserve"> </w:t>
      </w:r>
      <w:r w:rsidRPr="00AE3932">
        <w:rPr>
          <w:szCs w:val="24"/>
        </w:rPr>
        <w:t xml:space="preserve">sets out the definitions </w:t>
      </w:r>
      <w:r>
        <w:rPr>
          <w:szCs w:val="24"/>
        </w:rPr>
        <w:t xml:space="preserve">of </w:t>
      </w:r>
      <w:r w:rsidR="001B1850">
        <w:rPr>
          <w:szCs w:val="24"/>
        </w:rPr>
        <w:t xml:space="preserve">each </w:t>
      </w:r>
      <w:r>
        <w:rPr>
          <w:szCs w:val="24"/>
        </w:rPr>
        <w:t>Building Type</w:t>
      </w:r>
      <w:r w:rsidRPr="00AE3932">
        <w:rPr>
          <w:szCs w:val="24"/>
        </w:rPr>
        <w:t xml:space="preserve">. </w:t>
      </w:r>
      <w:r>
        <w:rPr>
          <w:szCs w:val="24"/>
        </w:rPr>
        <w:t xml:space="preserve"> The definitions </w:t>
      </w:r>
      <w:r w:rsidR="001B1850">
        <w:rPr>
          <w:szCs w:val="24"/>
        </w:rPr>
        <w:t xml:space="preserve">provide further detail on the descriptions contained in </w:t>
      </w:r>
      <w:r>
        <w:rPr>
          <w:szCs w:val="24"/>
        </w:rPr>
        <w:t xml:space="preserve">the SDA Rules. </w:t>
      </w:r>
    </w:p>
    <w:p w:rsidR="00252911" w:rsidRPr="00EC298B" w:rsidRDefault="00DB6C8D" w:rsidP="008F7160">
      <w:pPr>
        <w:pStyle w:val="Caption"/>
        <w:keepNext/>
        <w:keepLines/>
        <w:rPr>
          <w:sz w:val="22"/>
          <w:szCs w:val="24"/>
        </w:rPr>
      </w:pPr>
      <w:bookmarkStart w:id="35" w:name="_Ref452470388"/>
      <w:r w:rsidRPr="00EC298B">
        <w:rPr>
          <w:caps w:val="0"/>
          <w:sz w:val="22"/>
          <w:szCs w:val="24"/>
        </w:rPr>
        <w:t xml:space="preserve">Table </w:t>
      </w:r>
      <w:r w:rsidR="00252911" w:rsidRPr="00EC298B">
        <w:rPr>
          <w:sz w:val="22"/>
          <w:szCs w:val="24"/>
        </w:rPr>
        <w:fldChar w:fldCharType="begin"/>
      </w:r>
      <w:r w:rsidR="00252911" w:rsidRPr="00EC298B">
        <w:rPr>
          <w:sz w:val="22"/>
          <w:szCs w:val="24"/>
        </w:rPr>
        <w:instrText xml:space="preserve"> SEQ Table \* ARABIC </w:instrText>
      </w:r>
      <w:r w:rsidR="00252911" w:rsidRPr="00EC298B">
        <w:rPr>
          <w:sz w:val="22"/>
          <w:szCs w:val="24"/>
        </w:rPr>
        <w:fldChar w:fldCharType="separate"/>
      </w:r>
      <w:r w:rsidR="00B74B5B">
        <w:rPr>
          <w:noProof/>
          <w:sz w:val="22"/>
          <w:szCs w:val="24"/>
        </w:rPr>
        <w:t>3</w:t>
      </w:r>
      <w:r w:rsidR="00252911" w:rsidRPr="00EC298B">
        <w:rPr>
          <w:sz w:val="22"/>
          <w:szCs w:val="24"/>
        </w:rPr>
        <w:fldChar w:fldCharType="end"/>
      </w:r>
      <w:bookmarkEnd w:id="35"/>
      <w:r w:rsidRPr="00EC298B">
        <w:rPr>
          <w:caps w:val="0"/>
          <w:sz w:val="22"/>
          <w:szCs w:val="24"/>
        </w:rPr>
        <w:t>: Definitions of the Building Types</w:t>
      </w:r>
    </w:p>
    <w:tbl>
      <w:tblPr>
        <w:tblStyle w:val="TableGrid"/>
        <w:tblW w:w="10060"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Caption w:val="Primary building types"/>
        <w:tblDescription w:val="Describes by building type and typical building code of Australia classification"/>
      </w:tblPr>
      <w:tblGrid>
        <w:gridCol w:w="1843"/>
        <w:gridCol w:w="6090"/>
        <w:gridCol w:w="2127"/>
      </w:tblGrid>
      <w:tr w:rsidR="00252911" w:rsidRPr="005C4E27" w:rsidTr="000A3AAB">
        <w:trPr>
          <w:trHeight w:val="77"/>
          <w:tblHeader/>
        </w:trPr>
        <w:tc>
          <w:tcPr>
            <w:tcW w:w="1843" w:type="dxa"/>
            <w:shd w:val="clear" w:color="auto" w:fill="7030A0"/>
            <w:vAlign w:val="center"/>
          </w:tcPr>
          <w:p w:rsidR="00252911" w:rsidRPr="004C01F6" w:rsidRDefault="00252911" w:rsidP="008F7160">
            <w:pPr>
              <w:pStyle w:val="Heading5"/>
              <w:keepNext/>
              <w:keepLines/>
              <w:spacing w:before="120" w:after="200"/>
              <w:outlineLvl w:val="4"/>
              <w:rPr>
                <w:b w:val="0"/>
                <w:color w:val="FFFFFF" w:themeColor="background1"/>
                <w:sz w:val="20"/>
                <w:szCs w:val="20"/>
              </w:rPr>
            </w:pPr>
            <w:r w:rsidRPr="004C01F6">
              <w:rPr>
                <w:color w:val="FFFFFF" w:themeColor="background1"/>
                <w:sz w:val="20"/>
                <w:szCs w:val="20"/>
              </w:rPr>
              <w:t xml:space="preserve">Building </w:t>
            </w:r>
            <w:r w:rsidR="003A4E31">
              <w:rPr>
                <w:color w:val="FFFFFF" w:themeColor="background1"/>
                <w:sz w:val="20"/>
                <w:szCs w:val="20"/>
              </w:rPr>
              <w:t>T</w:t>
            </w:r>
            <w:r w:rsidRPr="004C01F6">
              <w:rPr>
                <w:color w:val="FFFFFF" w:themeColor="background1"/>
                <w:sz w:val="20"/>
                <w:szCs w:val="20"/>
              </w:rPr>
              <w:t>ype</w:t>
            </w:r>
          </w:p>
        </w:tc>
        <w:tc>
          <w:tcPr>
            <w:tcW w:w="6090" w:type="dxa"/>
            <w:shd w:val="clear" w:color="auto" w:fill="7030A0"/>
            <w:vAlign w:val="center"/>
          </w:tcPr>
          <w:p w:rsidR="00252911" w:rsidRPr="00DA1F62" w:rsidRDefault="003A4E31" w:rsidP="008F7160">
            <w:pPr>
              <w:pStyle w:val="Heading5"/>
              <w:keepNext/>
              <w:keepLines/>
              <w:spacing w:before="120" w:after="200"/>
              <w:outlineLvl w:val="4"/>
              <w:rPr>
                <w:b w:val="0"/>
                <w:color w:val="FFFFFF" w:themeColor="background1"/>
                <w:sz w:val="20"/>
                <w:szCs w:val="20"/>
              </w:rPr>
            </w:pPr>
            <w:r>
              <w:rPr>
                <w:color w:val="FFFFFF" w:themeColor="background1"/>
                <w:sz w:val="20"/>
                <w:szCs w:val="20"/>
              </w:rPr>
              <w:t>Definition</w:t>
            </w:r>
          </w:p>
        </w:tc>
        <w:tc>
          <w:tcPr>
            <w:tcW w:w="2127" w:type="dxa"/>
            <w:shd w:val="clear" w:color="auto" w:fill="7030A0"/>
            <w:vAlign w:val="center"/>
          </w:tcPr>
          <w:p w:rsidR="00252911" w:rsidRPr="00FC5E27" w:rsidRDefault="00252911" w:rsidP="008F7160">
            <w:pPr>
              <w:pStyle w:val="Heading5"/>
              <w:keepNext/>
              <w:keepLines/>
              <w:spacing w:before="120" w:after="200"/>
              <w:outlineLvl w:val="4"/>
              <w:rPr>
                <w:b w:val="0"/>
                <w:color w:val="FFFFFF" w:themeColor="background1"/>
                <w:sz w:val="20"/>
                <w:szCs w:val="20"/>
              </w:rPr>
            </w:pPr>
            <w:r w:rsidRPr="00294EE7">
              <w:rPr>
                <w:color w:val="FFFFFF" w:themeColor="background1"/>
                <w:sz w:val="20"/>
                <w:szCs w:val="20"/>
              </w:rPr>
              <w:t>Typical Building Code of Australia classification</w:t>
            </w:r>
          </w:p>
        </w:tc>
      </w:tr>
      <w:tr w:rsidR="00252911" w:rsidRPr="005C4E27" w:rsidTr="000A3AAB">
        <w:trPr>
          <w:trHeight w:val="731"/>
        </w:trPr>
        <w:tc>
          <w:tcPr>
            <w:tcW w:w="1843" w:type="dxa"/>
          </w:tcPr>
          <w:p w:rsidR="00252911" w:rsidRPr="007B7D09" w:rsidRDefault="00252911" w:rsidP="000066BD">
            <w:pPr>
              <w:keepNext/>
              <w:keepLines/>
              <w:spacing w:after="200"/>
              <w:rPr>
                <w:sz w:val="20"/>
                <w:szCs w:val="20"/>
              </w:rPr>
            </w:pPr>
            <w:r w:rsidRPr="007B7D09">
              <w:rPr>
                <w:sz w:val="20"/>
                <w:szCs w:val="20"/>
              </w:rPr>
              <w:t>Apartment</w:t>
            </w:r>
            <w:r w:rsidR="00A569F2">
              <w:rPr>
                <w:sz w:val="20"/>
                <w:szCs w:val="20"/>
              </w:rPr>
              <w:t>s</w:t>
            </w:r>
          </w:p>
        </w:tc>
        <w:tc>
          <w:tcPr>
            <w:tcW w:w="6090" w:type="dxa"/>
          </w:tcPr>
          <w:p w:rsidR="00FC1386" w:rsidRPr="004C01F6" w:rsidRDefault="00FC1386" w:rsidP="00EC298B">
            <w:pPr>
              <w:keepNext/>
              <w:keepLines/>
              <w:spacing w:before="60" w:after="60"/>
              <w:rPr>
                <w:sz w:val="20"/>
                <w:szCs w:val="20"/>
              </w:rPr>
            </w:pPr>
            <w:r w:rsidRPr="00F332D6">
              <w:rPr>
                <w:sz w:val="20"/>
                <w:szCs w:val="20"/>
              </w:rPr>
              <w:t>Apartments are self-contained units occupying only part of a larger residential building.</w:t>
            </w:r>
            <w:r w:rsidRPr="00F96521">
              <w:t xml:space="preserve"> </w:t>
            </w:r>
            <w:r w:rsidRPr="00F332D6">
              <w:rPr>
                <w:sz w:val="20"/>
                <w:szCs w:val="20"/>
              </w:rPr>
              <w:br/>
              <w:t>Apartments are typically built above or below another dwelling. Self-contained dwelling</w:t>
            </w:r>
            <w:r w:rsidR="00F139A1">
              <w:rPr>
                <w:sz w:val="20"/>
                <w:szCs w:val="20"/>
              </w:rPr>
              <w:t>s that are separated from other</w:t>
            </w:r>
            <w:r w:rsidRPr="00F332D6">
              <w:rPr>
                <w:sz w:val="20"/>
                <w:szCs w:val="20"/>
              </w:rPr>
              <w:t xml:space="preserve"> dwelling</w:t>
            </w:r>
            <w:r w:rsidR="00F139A1">
              <w:rPr>
                <w:sz w:val="20"/>
                <w:szCs w:val="20"/>
              </w:rPr>
              <w:t>s</w:t>
            </w:r>
            <w:r w:rsidRPr="00F332D6">
              <w:rPr>
                <w:sz w:val="20"/>
                <w:szCs w:val="20"/>
              </w:rPr>
              <w:t xml:space="preserve"> by walls alone </w:t>
            </w:r>
            <w:r w:rsidR="00FF4AF3">
              <w:rPr>
                <w:sz w:val="20"/>
                <w:szCs w:val="20"/>
              </w:rPr>
              <w:t>are not apartments but a</w:t>
            </w:r>
            <w:r w:rsidR="00A0788C">
              <w:rPr>
                <w:sz w:val="20"/>
                <w:szCs w:val="20"/>
              </w:rPr>
              <w:t>re</w:t>
            </w:r>
            <w:r w:rsidR="00FF4AF3">
              <w:rPr>
                <w:sz w:val="20"/>
                <w:szCs w:val="20"/>
              </w:rPr>
              <w:t xml:space="preserve"> likely to be a </w:t>
            </w:r>
            <w:r w:rsidR="00A0788C">
              <w:rPr>
                <w:sz w:val="20"/>
                <w:szCs w:val="20"/>
              </w:rPr>
              <w:t>v</w:t>
            </w:r>
            <w:r w:rsidRPr="00F332D6">
              <w:rPr>
                <w:sz w:val="20"/>
                <w:szCs w:val="20"/>
              </w:rPr>
              <w:t>illa</w:t>
            </w:r>
            <w:r w:rsidR="00A0788C">
              <w:rPr>
                <w:sz w:val="20"/>
                <w:szCs w:val="20"/>
              </w:rPr>
              <w:t>, d</w:t>
            </w:r>
            <w:r w:rsidRPr="00F332D6">
              <w:rPr>
                <w:sz w:val="20"/>
                <w:szCs w:val="20"/>
              </w:rPr>
              <w:t>uplex</w:t>
            </w:r>
            <w:r w:rsidR="00A0788C">
              <w:rPr>
                <w:sz w:val="20"/>
                <w:szCs w:val="20"/>
              </w:rPr>
              <w:t xml:space="preserve"> or t</w:t>
            </w:r>
            <w:r w:rsidRPr="00F332D6">
              <w:rPr>
                <w:sz w:val="20"/>
                <w:szCs w:val="20"/>
              </w:rPr>
              <w:t>ownhouse.</w:t>
            </w:r>
          </w:p>
        </w:tc>
        <w:tc>
          <w:tcPr>
            <w:tcW w:w="2127" w:type="dxa"/>
          </w:tcPr>
          <w:p w:rsidR="00252911" w:rsidRPr="004C01F6" w:rsidRDefault="00252911" w:rsidP="000066BD">
            <w:pPr>
              <w:keepNext/>
              <w:keepLines/>
              <w:spacing w:after="200"/>
              <w:rPr>
                <w:sz w:val="20"/>
                <w:szCs w:val="20"/>
              </w:rPr>
            </w:pPr>
            <w:r w:rsidRPr="004C01F6">
              <w:rPr>
                <w:sz w:val="20"/>
                <w:szCs w:val="20"/>
              </w:rPr>
              <w:t>Class 2</w:t>
            </w:r>
          </w:p>
        </w:tc>
      </w:tr>
      <w:tr w:rsidR="00252911" w:rsidRPr="005C4E27" w:rsidTr="000A3AAB">
        <w:trPr>
          <w:trHeight w:val="1334"/>
        </w:trPr>
        <w:tc>
          <w:tcPr>
            <w:tcW w:w="1843" w:type="dxa"/>
          </w:tcPr>
          <w:p w:rsidR="00252911" w:rsidRPr="007B7D09" w:rsidRDefault="00252911" w:rsidP="00A5505A">
            <w:pPr>
              <w:keepNext/>
              <w:keepLines/>
              <w:spacing w:after="200"/>
              <w:rPr>
                <w:sz w:val="20"/>
                <w:szCs w:val="20"/>
              </w:rPr>
            </w:pPr>
            <w:r w:rsidRPr="007B7D09">
              <w:rPr>
                <w:sz w:val="20"/>
                <w:szCs w:val="20"/>
              </w:rPr>
              <w:t>Villa</w:t>
            </w:r>
            <w:r w:rsidR="00A569F2">
              <w:rPr>
                <w:sz w:val="20"/>
                <w:szCs w:val="20"/>
              </w:rPr>
              <w:t>s</w:t>
            </w:r>
            <w:r>
              <w:rPr>
                <w:sz w:val="20"/>
                <w:szCs w:val="20"/>
              </w:rPr>
              <w:t>/</w:t>
            </w:r>
            <w:r w:rsidRPr="007B7D09">
              <w:rPr>
                <w:sz w:val="20"/>
                <w:szCs w:val="20"/>
              </w:rPr>
              <w:t xml:space="preserve"> </w:t>
            </w:r>
            <w:r w:rsidR="00F139A1">
              <w:rPr>
                <w:sz w:val="20"/>
                <w:szCs w:val="20"/>
              </w:rPr>
              <w:t xml:space="preserve">Duplexes/ </w:t>
            </w:r>
            <w:r>
              <w:rPr>
                <w:sz w:val="20"/>
                <w:szCs w:val="20"/>
              </w:rPr>
              <w:t>T</w:t>
            </w:r>
            <w:r w:rsidRPr="007B7D09">
              <w:rPr>
                <w:sz w:val="20"/>
                <w:szCs w:val="20"/>
              </w:rPr>
              <w:t>ownhous</w:t>
            </w:r>
            <w:r>
              <w:rPr>
                <w:sz w:val="20"/>
                <w:szCs w:val="20"/>
              </w:rPr>
              <w:t>e</w:t>
            </w:r>
            <w:r w:rsidR="00A569F2">
              <w:rPr>
                <w:sz w:val="20"/>
                <w:szCs w:val="20"/>
              </w:rPr>
              <w:t>s</w:t>
            </w:r>
          </w:p>
        </w:tc>
        <w:tc>
          <w:tcPr>
            <w:tcW w:w="6090" w:type="dxa"/>
          </w:tcPr>
          <w:p w:rsidR="00FF4AF3" w:rsidRPr="000F39C1" w:rsidRDefault="00FC1386" w:rsidP="00EC298B">
            <w:pPr>
              <w:spacing w:before="60" w:after="60"/>
              <w:rPr>
                <w:sz w:val="20"/>
                <w:szCs w:val="20"/>
              </w:rPr>
            </w:pPr>
            <w:r w:rsidRPr="000F39C1">
              <w:rPr>
                <w:sz w:val="20"/>
                <w:szCs w:val="20"/>
              </w:rPr>
              <w:t>Villas</w:t>
            </w:r>
            <w:r w:rsidR="00ED0573">
              <w:rPr>
                <w:sz w:val="20"/>
                <w:szCs w:val="20"/>
              </w:rPr>
              <w:t>,</w:t>
            </w:r>
            <w:r w:rsidRPr="000F39C1">
              <w:rPr>
                <w:sz w:val="20"/>
                <w:szCs w:val="20"/>
              </w:rPr>
              <w:t xml:space="preserve"> </w:t>
            </w:r>
            <w:r w:rsidR="00ED0573">
              <w:rPr>
                <w:sz w:val="20"/>
                <w:szCs w:val="20"/>
              </w:rPr>
              <w:t>d</w:t>
            </w:r>
            <w:r w:rsidRPr="000F39C1">
              <w:rPr>
                <w:sz w:val="20"/>
                <w:szCs w:val="20"/>
              </w:rPr>
              <w:t>uplex</w:t>
            </w:r>
            <w:r w:rsidR="00F139A1">
              <w:rPr>
                <w:sz w:val="20"/>
                <w:szCs w:val="20"/>
              </w:rPr>
              <w:t>es</w:t>
            </w:r>
            <w:r w:rsidR="00FF4AF3" w:rsidRPr="000F39C1">
              <w:rPr>
                <w:sz w:val="20"/>
                <w:szCs w:val="20"/>
              </w:rPr>
              <w:t xml:space="preserve"> and </w:t>
            </w:r>
            <w:r w:rsidR="00ED0573">
              <w:rPr>
                <w:sz w:val="20"/>
                <w:szCs w:val="20"/>
              </w:rPr>
              <w:t>t</w:t>
            </w:r>
            <w:r w:rsidRPr="000F39C1">
              <w:rPr>
                <w:sz w:val="20"/>
                <w:szCs w:val="20"/>
              </w:rPr>
              <w:t>ownhouses</w:t>
            </w:r>
            <w:r w:rsidR="00FF4AF3" w:rsidRPr="000F39C1">
              <w:rPr>
                <w:sz w:val="20"/>
                <w:szCs w:val="20"/>
              </w:rPr>
              <w:t xml:space="preserve"> are dwellings for</w:t>
            </w:r>
            <w:r w:rsidR="00ED0573">
              <w:rPr>
                <w:sz w:val="20"/>
                <w:szCs w:val="20"/>
              </w:rPr>
              <w:t xml:space="preserve"> one,</w:t>
            </w:r>
            <w:r w:rsidR="00FF4AF3" w:rsidRPr="000F39C1">
              <w:rPr>
                <w:sz w:val="20"/>
                <w:szCs w:val="20"/>
              </w:rPr>
              <w:t xml:space="preserve"> two or three </w:t>
            </w:r>
            <w:r w:rsidRPr="000F39C1">
              <w:rPr>
                <w:sz w:val="20"/>
                <w:szCs w:val="20"/>
              </w:rPr>
              <w:t>residents</w:t>
            </w:r>
            <w:r w:rsidR="00FF4AF3" w:rsidRPr="000F39C1">
              <w:rPr>
                <w:sz w:val="20"/>
                <w:szCs w:val="20"/>
              </w:rPr>
              <w:t>.</w:t>
            </w:r>
            <w:r w:rsidR="00F139A1">
              <w:rPr>
                <w:sz w:val="20"/>
                <w:szCs w:val="20"/>
              </w:rPr>
              <w:t xml:space="preserve"> </w:t>
            </w:r>
          </w:p>
          <w:p w:rsidR="00A130AB" w:rsidRDefault="00FF4AF3" w:rsidP="00EC298B">
            <w:pPr>
              <w:spacing w:before="60" w:after="60"/>
              <w:rPr>
                <w:sz w:val="20"/>
                <w:szCs w:val="20"/>
              </w:rPr>
            </w:pPr>
            <w:r w:rsidRPr="000F39C1">
              <w:rPr>
                <w:sz w:val="20"/>
                <w:szCs w:val="20"/>
              </w:rPr>
              <w:t xml:space="preserve">Villas, duplexes and townhouses </w:t>
            </w:r>
            <w:r w:rsidR="00FC1386" w:rsidRPr="000F39C1">
              <w:rPr>
                <w:sz w:val="20"/>
                <w:szCs w:val="20"/>
              </w:rPr>
              <w:t>are generally separate but semi-attached properties within a single land title or strata titled area.</w:t>
            </w:r>
            <w:r w:rsidR="00A130AB">
              <w:rPr>
                <w:sz w:val="20"/>
                <w:szCs w:val="20"/>
              </w:rPr>
              <w:t xml:space="preserve"> </w:t>
            </w:r>
            <w:r w:rsidR="00FC1386" w:rsidRPr="000F39C1">
              <w:rPr>
                <w:sz w:val="20"/>
                <w:szCs w:val="20"/>
              </w:rPr>
              <w:t xml:space="preserve"> </w:t>
            </w:r>
          </w:p>
          <w:p w:rsidR="00592BC8" w:rsidRDefault="00A130AB" w:rsidP="00EC298B">
            <w:pPr>
              <w:spacing w:before="60" w:after="60"/>
              <w:rPr>
                <w:sz w:val="20"/>
                <w:szCs w:val="20"/>
              </w:rPr>
            </w:pPr>
            <w:r>
              <w:rPr>
                <w:sz w:val="20"/>
                <w:szCs w:val="20"/>
              </w:rPr>
              <w:t>Dwellings will</w:t>
            </w:r>
            <w:r w:rsidR="00FC1386" w:rsidRPr="000F39C1">
              <w:rPr>
                <w:sz w:val="20"/>
                <w:szCs w:val="20"/>
              </w:rPr>
              <w:t xml:space="preserve"> be separated </w:t>
            </w:r>
            <w:r>
              <w:rPr>
                <w:sz w:val="20"/>
                <w:szCs w:val="20"/>
              </w:rPr>
              <w:t>by a fire-resisting</w:t>
            </w:r>
            <w:r w:rsidR="00FC1386" w:rsidRPr="000F39C1">
              <w:rPr>
                <w:sz w:val="20"/>
                <w:szCs w:val="20"/>
              </w:rPr>
              <w:t xml:space="preserve"> wall (</w:t>
            </w:r>
            <w:r w:rsidR="00FF4AF3" w:rsidRPr="000F39C1">
              <w:rPr>
                <w:sz w:val="20"/>
                <w:szCs w:val="20"/>
              </w:rPr>
              <w:t xml:space="preserve">although </w:t>
            </w:r>
            <w:r w:rsidR="00FC1386" w:rsidRPr="000F39C1">
              <w:rPr>
                <w:sz w:val="20"/>
                <w:szCs w:val="20"/>
              </w:rPr>
              <w:t>fire resistance n</w:t>
            </w:r>
            <w:r w:rsidR="000F39C1" w:rsidRPr="000F39C1">
              <w:rPr>
                <w:sz w:val="20"/>
                <w:szCs w:val="20"/>
              </w:rPr>
              <w:t>ot required for Existing Stock).</w:t>
            </w:r>
          </w:p>
          <w:p w:rsidR="00A130AB" w:rsidRDefault="00A0788C" w:rsidP="00EC298B">
            <w:pPr>
              <w:spacing w:before="60" w:after="60"/>
              <w:rPr>
                <w:sz w:val="20"/>
                <w:szCs w:val="20"/>
              </w:rPr>
            </w:pPr>
            <w:r w:rsidRPr="000F39C1">
              <w:rPr>
                <w:sz w:val="20"/>
                <w:szCs w:val="20"/>
              </w:rPr>
              <w:t xml:space="preserve">Each villa, duplex or townhouse must have a separate and reasonably accessible </w:t>
            </w:r>
            <w:r w:rsidR="00A130AB">
              <w:rPr>
                <w:sz w:val="20"/>
                <w:szCs w:val="20"/>
              </w:rPr>
              <w:t xml:space="preserve">entry to/exit from the property, and </w:t>
            </w:r>
            <w:r w:rsidR="003A4E31">
              <w:rPr>
                <w:sz w:val="20"/>
                <w:szCs w:val="20"/>
              </w:rPr>
              <w:t>participants</w:t>
            </w:r>
            <w:r w:rsidR="00A130AB">
              <w:rPr>
                <w:sz w:val="20"/>
                <w:szCs w:val="20"/>
              </w:rPr>
              <w:t xml:space="preserve"> must not be able to internally traverse between dwellings. That is, </w:t>
            </w:r>
            <w:r w:rsidR="003A4E31">
              <w:rPr>
                <w:sz w:val="20"/>
                <w:szCs w:val="20"/>
              </w:rPr>
              <w:t>participants</w:t>
            </w:r>
            <w:r w:rsidR="00A130AB">
              <w:rPr>
                <w:sz w:val="20"/>
                <w:szCs w:val="20"/>
              </w:rPr>
              <w:t xml:space="preserve"> must be required to exit one dwelling in order to enter another.</w:t>
            </w:r>
            <w:r w:rsidR="003A4E31">
              <w:rPr>
                <w:sz w:val="20"/>
                <w:szCs w:val="20"/>
              </w:rPr>
              <w:t xml:space="preserve"> Restricted internal access between dwellings may be provided for support staff only. </w:t>
            </w:r>
            <w:r w:rsidR="00A130AB">
              <w:rPr>
                <w:sz w:val="20"/>
                <w:szCs w:val="20"/>
              </w:rPr>
              <w:t xml:space="preserve"> </w:t>
            </w:r>
          </w:p>
          <w:p w:rsidR="00FC1386" w:rsidRPr="00A130AB" w:rsidRDefault="00FF4AF3" w:rsidP="00EC298B">
            <w:pPr>
              <w:spacing w:before="60" w:after="60"/>
              <w:rPr>
                <w:sz w:val="20"/>
                <w:szCs w:val="20"/>
              </w:rPr>
            </w:pPr>
            <w:r w:rsidRPr="000F39C1">
              <w:rPr>
                <w:sz w:val="20"/>
                <w:szCs w:val="20"/>
              </w:rPr>
              <w:t xml:space="preserve">Villas, duplexes and townhouses may also be ancillary dwellings that are located on the same parcel of land as another dwelling (e.g. fully self-contained ‘granny flats’).  </w:t>
            </w:r>
          </w:p>
        </w:tc>
        <w:tc>
          <w:tcPr>
            <w:tcW w:w="2127" w:type="dxa"/>
          </w:tcPr>
          <w:p w:rsidR="00252911" w:rsidRPr="00FC5E27" w:rsidRDefault="00252911" w:rsidP="0069108F">
            <w:pPr>
              <w:keepNext/>
              <w:keepLines/>
              <w:spacing w:after="0"/>
              <w:rPr>
                <w:sz w:val="20"/>
                <w:szCs w:val="20"/>
              </w:rPr>
            </w:pPr>
            <w:r w:rsidRPr="00FC5E27">
              <w:rPr>
                <w:sz w:val="20"/>
                <w:szCs w:val="20"/>
              </w:rPr>
              <w:t>Class 1(a)(ii), or</w:t>
            </w:r>
          </w:p>
          <w:p w:rsidR="00252911" w:rsidRDefault="00252911" w:rsidP="0069108F">
            <w:pPr>
              <w:keepNext/>
              <w:keepLines/>
              <w:spacing w:before="0" w:after="200"/>
              <w:rPr>
                <w:sz w:val="20"/>
                <w:szCs w:val="20"/>
              </w:rPr>
            </w:pPr>
            <w:r w:rsidRPr="00FC5E27">
              <w:rPr>
                <w:sz w:val="20"/>
                <w:szCs w:val="20"/>
              </w:rPr>
              <w:t>Class 3</w:t>
            </w:r>
          </w:p>
          <w:p w:rsidR="00252911" w:rsidRPr="005C4E27" w:rsidRDefault="00252911" w:rsidP="000A3AAB">
            <w:pPr>
              <w:keepNext/>
              <w:keepLines/>
              <w:spacing w:before="720" w:after="200"/>
              <w:rPr>
                <w:sz w:val="20"/>
                <w:szCs w:val="20"/>
              </w:rPr>
            </w:pPr>
            <w:r w:rsidRPr="005C4E27">
              <w:rPr>
                <w:sz w:val="20"/>
                <w:szCs w:val="20"/>
              </w:rPr>
              <w:t>Class 1(a)(i)</w:t>
            </w:r>
          </w:p>
        </w:tc>
      </w:tr>
      <w:tr w:rsidR="00252911" w:rsidRPr="005C4E27" w:rsidTr="000A3AAB">
        <w:trPr>
          <w:trHeight w:val="375"/>
        </w:trPr>
        <w:tc>
          <w:tcPr>
            <w:tcW w:w="1843" w:type="dxa"/>
          </w:tcPr>
          <w:p w:rsidR="00252911" w:rsidRPr="007B7D09" w:rsidRDefault="00252911" w:rsidP="000066BD">
            <w:pPr>
              <w:keepNext/>
              <w:keepLines/>
              <w:rPr>
                <w:sz w:val="20"/>
                <w:szCs w:val="20"/>
              </w:rPr>
            </w:pPr>
            <w:r w:rsidRPr="007B7D09">
              <w:rPr>
                <w:sz w:val="20"/>
                <w:szCs w:val="20"/>
              </w:rPr>
              <w:t>House</w:t>
            </w:r>
            <w:r w:rsidR="00A569F2">
              <w:rPr>
                <w:sz w:val="20"/>
                <w:szCs w:val="20"/>
              </w:rPr>
              <w:t>s</w:t>
            </w:r>
          </w:p>
        </w:tc>
        <w:tc>
          <w:tcPr>
            <w:tcW w:w="6090" w:type="dxa"/>
          </w:tcPr>
          <w:p w:rsidR="00252911" w:rsidRPr="004C01F6" w:rsidRDefault="00FC1386" w:rsidP="00EC298B">
            <w:pPr>
              <w:keepNext/>
              <w:keepLines/>
              <w:spacing w:before="60" w:after="60"/>
              <w:rPr>
                <w:sz w:val="20"/>
                <w:szCs w:val="20"/>
              </w:rPr>
            </w:pPr>
            <w:r w:rsidRPr="000F39C1">
              <w:rPr>
                <w:sz w:val="20"/>
                <w:szCs w:val="20"/>
              </w:rPr>
              <w:t xml:space="preserve">Houses are detached low-rise dwellings with garden or courtyard areas. </w:t>
            </w:r>
            <w:r w:rsidRPr="000F39C1">
              <w:rPr>
                <w:sz w:val="20"/>
                <w:szCs w:val="20"/>
              </w:rPr>
              <w:br/>
              <w:t xml:space="preserve">To be a house (rather than a villa/duplex/townhouse) the dwelling must be located on a clearly separated land area (e.g. </w:t>
            </w:r>
            <w:r w:rsidR="00A5505A" w:rsidRPr="000F39C1">
              <w:rPr>
                <w:sz w:val="20"/>
                <w:szCs w:val="20"/>
              </w:rPr>
              <w:t xml:space="preserve">separated by </w:t>
            </w:r>
            <w:r w:rsidRPr="000F39C1">
              <w:rPr>
                <w:sz w:val="20"/>
                <w:szCs w:val="20"/>
              </w:rPr>
              <w:t xml:space="preserve">a fence, hedge or other form of delineation that is in keeping with the character of the neighbourhood) and must not share a wall, roof, entry area, driveway, car parking or outdoor area with any dwelling other than an ancillary </w:t>
            </w:r>
            <w:r w:rsidR="00762A8E">
              <w:rPr>
                <w:sz w:val="20"/>
                <w:szCs w:val="20"/>
              </w:rPr>
              <w:t>Villa/Townhouse/Duplex with no more than one resident</w:t>
            </w:r>
            <w:r w:rsidRPr="000F39C1">
              <w:rPr>
                <w:sz w:val="20"/>
                <w:szCs w:val="20"/>
              </w:rPr>
              <w:t xml:space="preserve">. A house </w:t>
            </w:r>
            <w:r w:rsidR="00A5505A" w:rsidRPr="000F39C1">
              <w:rPr>
                <w:sz w:val="20"/>
                <w:szCs w:val="20"/>
              </w:rPr>
              <w:t xml:space="preserve">is not to have more than </w:t>
            </w:r>
            <w:r w:rsidRPr="000F39C1">
              <w:rPr>
                <w:sz w:val="20"/>
                <w:szCs w:val="20"/>
              </w:rPr>
              <w:t xml:space="preserve">two ancillary </w:t>
            </w:r>
            <w:r w:rsidR="00762A8E">
              <w:rPr>
                <w:sz w:val="20"/>
                <w:szCs w:val="20"/>
              </w:rPr>
              <w:t>V</w:t>
            </w:r>
            <w:r w:rsidRPr="000F39C1">
              <w:rPr>
                <w:sz w:val="20"/>
                <w:szCs w:val="20"/>
              </w:rPr>
              <w:t>illa</w:t>
            </w:r>
            <w:r w:rsidR="00762A8E">
              <w:rPr>
                <w:sz w:val="20"/>
                <w:szCs w:val="20"/>
              </w:rPr>
              <w:t>/Duplex/Townhouse</w:t>
            </w:r>
            <w:r w:rsidRPr="000F39C1">
              <w:rPr>
                <w:sz w:val="20"/>
                <w:szCs w:val="20"/>
              </w:rPr>
              <w:t xml:space="preserve">s </w:t>
            </w:r>
            <w:r w:rsidR="00A569F2" w:rsidRPr="000F39C1">
              <w:rPr>
                <w:sz w:val="20"/>
                <w:szCs w:val="20"/>
              </w:rPr>
              <w:t xml:space="preserve">(otherwise </w:t>
            </w:r>
            <w:r w:rsidR="00762A8E">
              <w:rPr>
                <w:sz w:val="20"/>
                <w:szCs w:val="20"/>
              </w:rPr>
              <w:t>the primary dwelling is likely to be considered a Villa/Townhouse/Duplex)</w:t>
            </w:r>
            <w:r w:rsidRPr="000F39C1">
              <w:rPr>
                <w:sz w:val="20"/>
                <w:szCs w:val="20"/>
              </w:rPr>
              <w:t xml:space="preserve">. </w:t>
            </w:r>
            <w:r w:rsidRPr="000F39C1">
              <w:rPr>
                <w:sz w:val="20"/>
                <w:szCs w:val="20"/>
              </w:rPr>
              <w:br/>
              <w:t xml:space="preserve">Each house must have </w:t>
            </w:r>
            <w:r w:rsidR="00A0788C">
              <w:rPr>
                <w:sz w:val="20"/>
                <w:szCs w:val="20"/>
              </w:rPr>
              <w:t xml:space="preserve">a </w:t>
            </w:r>
            <w:r w:rsidRPr="000F39C1">
              <w:rPr>
                <w:sz w:val="20"/>
                <w:szCs w:val="20"/>
              </w:rPr>
              <w:t xml:space="preserve">land area </w:t>
            </w:r>
            <w:r w:rsidR="00A569F2" w:rsidRPr="000F39C1">
              <w:rPr>
                <w:sz w:val="20"/>
                <w:szCs w:val="20"/>
              </w:rPr>
              <w:t xml:space="preserve">that is </w:t>
            </w:r>
            <w:r w:rsidRPr="000F39C1">
              <w:rPr>
                <w:sz w:val="20"/>
                <w:szCs w:val="20"/>
              </w:rPr>
              <w:t>commensurate with the number of residents</w:t>
            </w:r>
            <w:r w:rsidR="00A569F2" w:rsidRPr="000F39C1">
              <w:rPr>
                <w:sz w:val="20"/>
                <w:szCs w:val="20"/>
              </w:rPr>
              <w:t xml:space="preserve"> and </w:t>
            </w:r>
            <w:r w:rsidRPr="000F39C1">
              <w:rPr>
                <w:sz w:val="20"/>
                <w:szCs w:val="20"/>
              </w:rPr>
              <w:t>in keeping with similar pr</w:t>
            </w:r>
            <w:r w:rsidR="00DE5A44" w:rsidRPr="000F39C1">
              <w:rPr>
                <w:sz w:val="20"/>
                <w:szCs w:val="20"/>
              </w:rPr>
              <w:t>operties in the neighbourhood.</w:t>
            </w:r>
            <w:r w:rsidR="00DE5A44" w:rsidRPr="00EC298B">
              <w:rPr>
                <w:sz w:val="20"/>
                <w:szCs w:val="20"/>
              </w:rPr>
              <w:t xml:space="preserve"> </w:t>
            </w:r>
          </w:p>
        </w:tc>
        <w:tc>
          <w:tcPr>
            <w:tcW w:w="2127" w:type="dxa"/>
          </w:tcPr>
          <w:p w:rsidR="00252911" w:rsidRPr="004C01F6" w:rsidRDefault="00252911" w:rsidP="0069108F">
            <w:pPr>
              <w:keepNext/>
              <w:keepLines/>
              <w:spacing w:after="0"/>
              <w:rPr>
                <w:sz w:val="20"/>
                <w:szCs w:val="20"/>
              </w:rPr>
            </w:pPr>
            <w:r w:rsidRPr="004C01F6">
              <w:rPr>
                <w:sz w:val="20"/>
                <w:szCs w:val="20"/>
              </w:rPr>
              <w:t>Class 1(a)(i),</w:t>
            </w:r>
          </w:p>
          <w:p w:rsidR="00252911" w:rsidRPr="00DA1F62" w:rsidRDefault="00252911" w:rsidP="0069108F">
            <w:pPr>
              <w:keepNext/>
              <w:keepLines/>
              <w:spacing w:before="0" w:after="0"/>
              <w:rPr>
                <w:sz w:val="20"/>
                <w:szCs w:val="20"/>
              </w:rPr>
            </w:pPr>
            <w:r w:rsidRPr="00DA1F62">
              <w:rPr>
                <w:sz w:val="20"/>
                <w:szCs w:val="20"/>
              </w:rPr>
              <w:t xml:space="preserve">Class 1(b)(i), or </w:t>
            </w:r>
          </w:p>
          <w:p w:rsidR="00252911" w:rsidRPr="00294EE7" w:rsidRDefault="00252911" w:rsidP="000A3AAB">
            <w:pPr>
              <w:keepNext/>
              <w:keepLines/>
              <w:spacing w:before="0" w:after="120"/>
              <w:rPr>
                <w:sz w:val="20"/>
                <w:szCs w:val="20"/>
              </w:rPr>
            </w:pPr>
            <w:r w:rsidRPr="00294EE7">
              <w:rPr>
                <w:sz w:val="20"/>
                <w:szCs w:val="20"/>
              </w:rPr>
              <w:t>Class 3</w:t>
            </w:r>
          </w:p>
        </w:tc>
      </w:tr>
      <w:tr w:rsidR="00252911" w:rsidRPr="005C4E27" w:rsidTr="000A3AAB">
        <w:trPr>
          <w:trHeight w:val="393"/>
        </w:trPr>
        <w:tc>
          <w:tcPr>
            <w:tcW w:w="1843" w:type="dxa"/>
          </w:tcPr>
          <w:p w:rsidR="00252911" w:rsidRPr="007B7D09" w:rsidRDefault="00252911" w:rsidP="000066BD">
            <w:pPr>
              <w:keepNext/>
              <w:keepLines/>
              <w:rPr>
                <w:sz w:val="20"/>
                <w:szCs w:val="20"/>
              </w:rPr>
            </w:pPr>
            <w:r w:rsidRPr="007B7D09">
              <w:rPr>
                <w:sz w:val="20"/>
                <w:szCs w:val="20"/>
              </w:rPr>
              <w:t xml:space="preserve">Group </w:t>
            </w:r>
            <w:r w:rsidR="00762A8E">
              <w:rPr>
                <w:sz w:val="20"/>
                <w:szCs w:val="20"/>
              </w:rPr>
              <w:t>H</w:t>
            </w:r>
            <w:r w:rsidRPr="007B7D09">
              <w:rPr>
                <w:sz w:val="20"/>
                <w:szCs w:val="20"/>
              </w:rPr>
              <w:t>ome</w:t>
            </w:r>
            <w:r w:rsidR="00A569F2">
              <w:rPr>
                <w:sz w:val="20"/>
                <w:szCs w:val="20"/>
              </w:rPr>
              <w:t>s</w:t>
            </w:r>
          </w:p>
        </w:tc>
        <w:tc>
          <w:tcPr>
            <w:tcW w:w="6090" w:type="dxa"/>
          </w:tcPr>
          <w:p w:rsidR="00FC1386" w:rsidRPr="004C01F6" w:rsidRDefault="00FC1386" w:rsidP="00EC298B">
            <w:pPr>
              <w:keepNext/>
              <w:keepLines/>
              <w:spacing w:before="60" w:after="60"/>
              <w:rPr>
                <w:sz w:val="20"/>
                <w:szCs w:val="20"/>
              </w:rPr>
            </w:pPr>
            <w:r w:rsidRPr="000F39C1">
              <w:rPr>
                <w:sz w:val="20"/>
                <w:szCs w:val="20"/>
              </w:rPr>
              <w:br/>
              <w:t xml:space="preserve">Group </w:t>
            </w:r>
            <w:r w:rsidR="00762A8E">
              <w:rPr>
                <w:sz w:val="20"/>
                <w:szCs w:val="20"/>
              </w:rPr>
              <w:t>H</w:t>
            </w:r>
            <w:r w:rsidRPr="000F39C1">
              <w:rPr>
                <w:sz w:val="20"/>
                <w:szCs w:val="20"/>
              </w:rPr>
              <w:t xml:space="preserve">omes are </w:t>
            </w:r>
            <w:r w:rsidR="00A569F2" w:rsidRPr="000F39C1">
              <w:rPr>
                <w:sz w:val="20"/>
                <w:szCs w:val="20"/>
              </w:rPr>
              <w:t xml:space="preserve">houses and the description of houses above applies to Group </w:t>
            </w:r>
            <w:r w:rsidR="00762A8E">
              <w:rPr>
                <w:sz w:val="20"/>
                <w:szCs w:val="20"/>
              </w:rPr>
              <w:t>H</w:t>
            </w:r>
            <w:r w:rsidR="00A569F2" w:rsidRPr="000F39C1">
              <w:rPr>
                <w:sz w:val="20"/>
                <w:szCs w:val="20"/>
              </w:rPr>
              <w:t xml:space="preserve">omes except Group </w:t>
            </w:r>
            <w:r w:rsidR="00762A8E">
              <w:rPr>
                <w:sz w:val="20"/>
                <w:szCs w:val="20"/>
              </w:rPr>
              <w:t>H</w:t>
            </w:r>
            <w:r w:rsidR="00A569F2" w:rsidRPr="000F39C1">
              <w:rPr>
                <w:sz w:val="20"/>
                <w:szCs w:val="20"/>
              </w:rPr>
              <w:t>omes are distinguished from other houses by the larger number of residents (four or five long term residents</w:t>
            </w:r>
            <w:r w:rsidR="000F39C1">
              <w:rPr>
                <w:sz w:val="20"/>
                <w:szCs w:val="20"/>
              </w:rPr>
              <w:t xml:space="preserve">). </w:t>
            </w:r>
          </w:p>
        </w:tc>
        <w:tc>
          <w:tcPr>
            <w:tcW w:w="2127" w:type="dxa"/>
          </w:tcPr>
          <w:p w:rsidR="00252911" w:rsidRPr="004C01F6" w:rsidRDefault="00252911" w:rsidP="0069108F">
            <w:pPr>
              <w:keepNext/>
              <w:keepLines/>
              <w:spacing w:after="0"/>
              <w:rPr>
                <w:sz w:val="20"/>
                <w:szCs w:val="20"/>
              </w:rPr>
            </w:pPr>
            <w:r w:rsidRPr="004C01F6">
              <w:rPr>
                <w:sz w:val="20"/>
                <w:szCs w:val="20"/>
              </w:rPr>
              <w:t xml:space="preserve">Class 1(b)(i), or </w:t>
            </w:r>
          </w:p>
          <w:p w:rsidR="00252911" w:rsidRPr="00DA1F62" w:rsidRDefault="00252911" w:rsidP="000A3AAB">
            <w:pPr>
              <w:keepNext/>
              <w:keepLines/>
              <w:spacing w:before="0" w:after="120"/>
              <w:rPr>
                <w:sz w:val="20"/>
                <w:szCs w:val="20"/>
              </w:rPr>
            </w:pPr>
            <w:r w:rsidRPr="00DA1F62">
              <w:rPr>
                <w:sz w:val="20"/>
                <w:szCs w:val="20"/>
              </w:rPr>
              <w:t>Class 3</w:t>
            </w:r>
          </w:p>
        </w:tc>
      </w:tr>
    </w:tbl>
    <w:p w:rsidR="00EE3572" w:rsidRDefault="00EE3572" w:rsidP="00233B30">
      <w:pPr>
        <w:pStyle w:val="Heading2"/>
        <w:spacing w:before="360"/>
        <w:rPr>
          <w:rFonts w:eastAsia="Times New Roman"/>
          <w:sz w:val="28"/>
          <w:szCs w:val="28"/>
          <w:lang w:val="en"/>
        </w:rPr>
      </w:pPr>
    </w:p>
    <w:p w:rsidR="00EE3572" w:rsidRDefault="00EE3572">
      <w:pPr>
        <w:spacing w:before="0" w:after="200"/>
        <w:rPr>
          <w:rFonts w:eastAsia="Times New Roman" w:cstheme="majorBidi"/>
          <w:b/>
          <w:bCs/>
          <w:sz w:val="28"/>
          <w:szCs w:val="28"/>
          <w:lang w:val="en"/>
        </w:rPr>
      </w:pPr>
      <w:r>
        <w:rPr>
          <w:rFonts w:eastAsia="Times New Roman"/>
          <w:sz w:val="28"/>
          <w:szCs w:val="28"/>
          <w:lang w:val="en"/>
        </w:rPr>
        <w:br w:type="page"/>
      </w:r>
    </w:p>
    <w:p w:rsidR="00790DB8" w:rsidRPr="002C1265" w:rsidRDefault="00790DB8" w:rsidP="00EC298B">
      <w:pPr>
        <w:pStyle w:val="Heading3"/>
        <w:rPr>
          <w:rFonts w:eastAsia="Times New Roman"/>
          <w:lang w:val="en"/>
        </w:rPr>
      </w:pPr>
      <w:r w:rsidRPr="002C1265">
        <w:rPr>
          <w:rFonts w:eastAsia="Times New Roman"/>
          <w:lang w:val="en"/>
        </w:rPr>
        <w:t xml:space="preserve">Step </w:t>
      </w:r>
      <w:r w:rsidR="005A5395" w:rsidRPr="002C1265">
        <w:rPr>
          <w:rFonts w:eastAsia="Times New Roman"/>
          <w:lang w:val="en"/>
        </w:rPr>
        <w:t>2</w:t>
      </w:r>
      <w:r w:rsidRPr="002C1265">
        <w:rPr>
          <w:rFonts w:eastAsia="Times New Roman"/>
          <w:lang w:val="en"/>
        </w:rPr>
        <w:t xml:space="preserve">B: Design </w:t>
      </w:r>
      <w:r w:rsidR="007B5ABF">
        <w:rPr>
          <w:rFonts w:eastAsia="Times New Roman"/>
          <w:lang w:val="en"/>
        </w:rPr>
        <w:t>C</w:t>
      </w:r>
      <w:r w:rsidRPr="002C1265">
        <w:rPr>
          <w:rFonts w:eastAsia="Times New Roman"/>
          <w:lang w:val="en"/>
        </w:rPr>
        <w:t>ategory</w:t>
      </w:r>
    </w:p>
    <w:p w:rsidR="001D3FA8" w:rsidRDefault="001D3FA8" w:rsidP="001D3FA8">
      <w:pPr>
        <w:spacing w:after="120"/>
        <w:rPr>
          <w:szCs w:val="24"/>
        </w:rPr>
      </w:pPr>
      <w:r>
        <w:rPr>
          <w:szCs w:val="24"/>
        </w:rPr>
        <w:t xml:space="preserve">Dwellings are </w:t>
      </w:r>
      <w:r w:rsidR="007B5ABF">
        <w:rPr>
          <w:szCs w:val="24"/>
        </w:rPr>
        <w:t xml:space="preserve">also </w:t>
      </w:r>
      <w:r>
        <w:rPr>
          <w:szCs w:val="24"/>
        </w:rPr>
        <w:t xml:space="preserve">enrolled according to the </w:t>
      </w:r>
      <w:r w:rsidR="007B5ABF">
        <w:rPr>
          <w:szCs w:val="24"/>
        </w:rPr>
        <w:t>Design Category s</w:t>
      </w:r>
      <w:r>
        <w:rPr>
          <w:szCs w:val="24"/>
        </w:rPr>
        <w:t xml:space="preserve">pecified by the </w:t>
      </w:r>
      <w:r w:rsidR="007B5ABF">
        <w:rPr>
          <w:szCs w:val="24"/>
        </w:rPr>
        <w:t>r</w:t>
      </w:r>
      <w:r>
        <w:rPr>
          <w:szCs w:val="24"/>
        </w:rPr>
        <w:t xml:space="preserve">egistered </w:t>
      </w:r>
      <w:r w:rsidR="007B5ABF">
        <w:rPr>
          <w:szCs w:val="24"/>
        </w:rPr>
        <w:t>p</w:t>
      </w:r>
      <w:r>
        <w:rPr>
          <w:szCs w:val="24"/>
        </w:rPr>
        <w:t xml:space="preserve">rovider </w:t>
      </w:r>
      <w:r w:rsidR="00A0788C">
        <w:rPr>
          <w:szCs w:val="24"/>
        </w:rPr>
        <w:t>when enrolling the dwelling.  T</w:t>
      </w:r>
      <w:r>
        <w:rPr>
          <w:szCs w:val="24"/>
        </w:rPr>
        <w:t xml:space="preserve">he amount of the SDA price paid for the dwelling depends on the </w:t>
      </w:r>
      <w:r w:rsidR="007B5ABF">
        <w:rPr>
          <w:szCs w:val="24"/>
        </w:rPr>
        <w:t xml:space="preserve">Design Category </w:t>
      </w:r>
      <w:r>
        <w:rPr>
          <w:szCs w:val="24"/>
        </w:rPr>
        <w:t xml:space="preserve">under which the dwelling is enrolled.  </w:t>
      </w:r>
    </w:p>
    <w:p w:rsidR="001D3FA8" w:rsidRDefault="001D3FA8" w:rsidP="001D3FA8">
      <w:pPr>
        <w:spacing w:after="120"/>
        <w:rPr>
          <w:szCs w:val="24"/>
        </w:rPr>
      </w:pPr>
      <w:r>
        <w:rPr>
          <w:szCs w:val="24"/>
        </w:rPr>
        <w:t xml:space="preserve">Providers must ensure that a dwelling is correctly enrolled and claims for payment are correctly made.  If a dwelling does not meet the requirements of the </w:t>
      </w:r>
      <w:r w:rsidR="007B5ABF">
        <w:rPr>
          <w:szCs w:val="24"/>
        </w:rPr>
        <w:t xml:space="preserve">Design Category </w:t>
      </w:r>
      <w:r>
        <w:rPr>
          <w:szCs w:val="24"/>
        </w:rPr>
        <w:t>for which the dwelling is enrolled and for which SDA is claimed</w:t>
      </w:r>
      <w:r w:rsidR="009F74DF">
        <w:rPr>
          <w:szCs w:val="24"/>
        </w:rPr>
        <w:t>,</w:t>
      </w:r>
      <w:r>
        <w:rPr>
          <w:szCs w:val="24"/>
        </w:rPr>
        <w:t xml:space="preserve"> SDA payments cannot be paid for the dwelling and the enrolment will be cancelled.</w:t>
      </w:r>
    </w:p>
    <w:p w:rsidR="001D3FA8" w:rsidRDefault="001D3FA8" w:rsidP="001D3FA8">
      <w:pPr>
        <w:spacing w:after="120"/>
        <w:rPr>
          <w:szCs w:val="24"/>
        </w:rPr>
      </w:pPr>
      <w:r>
        <w:t xml:space="preserve">Registered </w:t>
      </w:r>
      <w:r w:rsidR="00AE614F">
        <w:t>p</w:t>
      </w:r>
      <w:r>
        <w:t>roviders are required to notify the NDIA within 5 working days if there is a change in the dwelling</w:t>
      </w:r>
      <w:r w:rsidR="009F74DF">
        <w:t>’</w:t>
      </w:r>
      <w:r>
        <w:t xml:space="preserve">s </w:t>
      </w:r>
      <w:r w:rsidR="00426580">
        <w:t>D</w:t>
      </w:r>
      <w:r>
        <w:t xml:space="preserve">esign </w:t>
      </w:r>
      <w:r w:rsidR="00426580">
        <w:t>C</w:t>
      </w:r>
      <w:r>
        <w:t xml:space="preserve">ategory (SDA Rule 7.21) or if the </w:t>
      </w:r>
      <w:r w:rsidR="00426580">
        <w:t>D</w:t>
      </w:r>
      <w:r>
        <w:t xml:space="preserve">esign </w:t>
      </w:r>
      <w:r w:rsidR="00426580">
        <w:t>C</w:t>
      </w:r>
      <w:r>
        <w:t xml:space="preserve">ategory </w:t>
      </w:r>
      <w:r w:rsidR="009F74DF">
        <w:t xml:space="preserve">is </w:t>
      </w:r>
      <w:r>
        <w:t>likely to change (SDA Rule 7.23)</w:t>
      </w:r>
      <w:r w:rsidR="009F74DF">
        <w:t>.</w:t>
      </w:r>
    </w:p>
    <w:p w:rsidR="00F95581" w:rsidRDefault="00252911" w:rsidP="00F95581">
      <w:r w:rsidRPr="00115D32">
        <w:t xml:space="preserve">The SDA </w:t>
      </w:r>
      <w:r w:rsidR="00233B30">
        <w:t>prices are</w:t>
      </w:r>
      <w:r w:rsidRPr="00115D32">
        <w:t xml:space="preserve"> based on five broad categories of SDA design</w:t>
      </w:r>
      <w:r w:rsidR="00C95EA5">
        <w:t xml:space="preserve"> which are set out in the SDA Rules.  The five Design Categories are</w:t>
      </w:r>
      <w:r w:rsidR="00E323B6">
        <w:t xml:space="preserve"> </w:t>
      </w:r>
      <w:r w:rsidR="007171F5">
        <w:t>Basic, Improved Liv</w:t>
      </w:r>
      <w:r w:rsidR="002C59FD">
        <w:t>e</w:t>
      </w:r>
      <w:r w:rsidR="007171F5">
        <w:t>ability, Fully Accessible, Robust, and High Physical Support.</w:t>
      </w:r>
      <w:r w:rsidR="00F95581">
        <w:t xml:space="preserve"> </w:t>
      </w:r>
    </w:p>
    <w:p w:rsidR="00587918" w:rsidRPr="00587918" w:rsidRDefault="00506CD7" w:rsidP="00EC298B">
      <w:pPr>
        <w:pStyle w:val="Heading4"/>
      </w:pPr>
      <w:r>
        <w:t>M</w:t>
      </w:r>
      <w:r w:rsidRPr="00587918">
        <w:t xml:space="preserve">inimum </w:t>
      </w:r>
      <w:r>
        <w:t>R</w:t>
      </w:r>
      <w:r w:rsidRPr="00587918">
        <w:t xml:space="preserve">equirements </w:t>
      </w:r>
    </w:p>
    <w:p w:rsidR="00A14A8F" w:rsidRDefault="00A14A8F" w:rsidP="00506CD7">
      <w:pPr>
        <w:spacing w:after="120"/>
      </w:pPr>
      <w:r>
        <w:t xml:space="preserve">In addition to the </w:t>
      </w:r>
      <w:r w:rsidR="00864710">
        <w:t xml:space="preserve">detailed description </w:t>
      </w:r>
      <w:r>
        <w:t xml:space="preserve">of each </w:t>
      </w:r>
      <w:r w:rsidR="009D1CB1">
        <w:t>Building Type</w:t>
      </w:r>
      <w:r>
        <w:t xml:space="preserve"> </w:t>
      </w:r>
      <w:r w:rsidR="00864710">
        <w:t xml:space="preserve">above </w:t>
      </w:r>
      <w:r>
        <w:t xml:space="preserve">this Price Guide </w:t>
      </w:r>
      <w:r w:rsidR="00864710">
        <w:t xml:space="preserve">also </w:t>
      </w:r>
      <w:r>
        <w:t xml:space="preserve">sets out </w:t>
      </w:r>
      <w:r w:rsidR="00864710">
        <w:t xml:space="preserve">the </w:t>
      </w:r>
      <w:r>
        <w:t xml:space="preserve">Minimum Requirements for each </w:t>
      </w:r>
      <w:r w:rsidR="002B3182">
        <w:t>Design Category other than Basic</w:t>
      </w:r>
      <w:r>
        <w:t xml:space="preserve"> design.</w:t>
      </w:r>
    </w:p>
    <w:p w:rsidR="00A14A8F" w:rsidRDefault="00A14A8F" w:rsidP="00506CD7">
      <w:pPr>
        <w:spacing w:after="120"/>
      </w:pPr>
      <w:r>
        <w:t>A</w:t>
      </w:r>
      <w:r w:rsidRPr="00294EE7">
        <w:t>ll shared areas and the majority of bedrooms</w:t>
      </w:r>
      <w:r>
        <w:t xml:space="preserve"> and similar sized private rooms must comply with the Minimum Requirements. </w:t>
      </w:r>
    </w:p>
    <w:p w:rsidR="00506CD7" w:rsidRDefault="00506CD7" w:rsidP="00506CD7">
      <w:pPr>
        <w:spacing w:after="120"/>
      </w:pPr>
      <w:r>
        <w:t xml:space="preserve">The level of compliance with the </w:t>
      </w:r>
      <w:r w:rsidR="00A14A8F">
        <w:t>M</w:t>
      </w:r>
      <w:r>
        <w:t xml:space="preserve">inimum </w:t>
      </w:r>
      <w:r w:rsidR="00A14A8F">
        <w:t>R</w:t>
      </w:r>
      <w:r>
        <w:t xml:space="preserve">equirements differs for New Builds </w:t>
      </w:r>
      <w:r w:rsidR="00A14A8F">
        <w:t xml:space="preserve">and </w:t>
      </w:r>
      <w:r>
        <w:t>Existing Stock:</w:t>
      </w:r>
    </w:p>
    <w:p w:rsidR="00A14A8F" w:rsidRDefault="00506CD7" w:rsidP="00A14A8F">
      <w:pPr>
        <w:pStyle w:val="ListParagraph"/>
        <w:numPr>
          <w:ilvl w:val="0"/>
          <w:numId w:val="45"/>
        </w:numPr>
      </w:pPr>
      <w:r>
        <w:t>New Builds must comply with the Minimum Requirements set out below</w:t>
      </w:r>
      <w:r w:rsidR="00A14A8F">
        <w:t>;</w:t>
      </w:r>
      <w:r>
        <w:t xml:space="preserve"> </w:t>
      </w:r>
    </w:p>
    <w:p w:rsidR="00506CD7" w:rsidRDefault="00A14A8F" w:rsidP="00A14A8F">
      <w:pPr>
        <w:pStyle w:val="ListParagraph"/>
        <w:numPr>
          <w:ilvl w:val="0"/>
          <w:numId w:val="45"/>
        </w:numPr>
      </w:pPr>
      <w:r>
        <w:t xml:space="preserve">For </w:t>
      </w:r>
      <w:r w:rsidR="00506CD7">
        <w:t xml:space="preserve">Existing Stock </w:t>
      </w:r>
      <w:r>
        <w:t xml:space="preserve">there must be substantial compliance with the Minimum Requirements set out below.  </w:t>
      </w:r>
      <w:r w:rsidRPr="00A14A8F">
        <w:t>Substantial compliance means compliance in all but a few non-critical respects.</w:t>
      </w:r>
    </w:p>
    <w:p w:rsidR="00E30746" w:rsidRDefault="00A14A8F" w:rsidP="00A14A8F">
      <w:r>
        <w:t xml:space="preserve">Some of the Minimum Requirements are based on the </w:t>
      </w:r>
      <w:r w:rsidR="00506CD7">
        <w:t xml:space="preserve">‘Silver’ or ‘Platinum’ level housing designs set out in the </w:t>
      </w:r>
      <w:r w:rsidR="00506CD7" w:rsidRPr="001A2CC2">
        <w:rPr>
          <w:i/>
        </w:rPr>
        <w:t>Livable Housing Design Guidelines</w:t>
      </w:r>
      <w:r w:rsidR="00506CD7">
        <w:t xml:space="preserve"> (third edition)</w:t>
      </w:r>
      <w:r w:rsidR="00506CD7">
        <w:rPr>
          <w:rStyle w:val="FootnoteReference"/>
        </w:rPr>
        <w:footnoteReference w:id="4"/>
      </w:r>
      <w:r w:rsidR="00506CD7">
        <w:t xml:space="preserve"> Australia</w:t>
      </w:r>
      <w:r>
        <w:t>.</w:t>
      </w:r>
      <w:r w:rsidR="00506CD7">
        <w:t xml:space="preserve"> </w:t>
      </w:r>
    </w:p>
    <w:p w:rsidR="00ED0573" w:rsidRDefault="00A0788C" w:rsidP="00AA691B">
      <w:pPr>
        <w:sectPr w:rsidR="00ED0573" w:rsidSect="00ED0573">
          <w:pgSz w:w="11906" w:h="16838"/>
          <w:pgMar w:top="1418" w:right="720" w:bottom="567" w:left="1560" w:header="709" w:footer="709" w:gutter="0"/>
          <w:cols w:space="708"/>
          <w:titlePg/>
          <w:docGrid w:linePitch="360"/>
        </w:sectPr>
      </w:pPr>
      <w:r>
        <w:t xml:space="preserve">The Minimum Requirements for each Design Category are set out in </w:t>
      </w:r>
      <w:r w:rsidR="00A14A8F" w:rsidRPr="00A14A8F">
        <w:rPr>
          <w:b/>
        </w:rPr>
        <w:fldChar w:fldCharType="begin"/>
      </w:r>
      <w:r w:rsidR="00A14A8F" w:rsidRPr="00A14A8F">
        <w:rPr>
          <w:b/>
        </w:rPr>
        <w:instrText xml:space="preserve"> REF _Ref453937131 \h </w:instrText>
      </w:r>
      <w:r w:rsidR="00A14A8F">
        <w:rPr>
          <w:b/>
        </w:rPr>
        <w:instrText xml:space="preserve"> \* MERGEFORMAT </w:instrText>
      </w:r>
      <w:r w:rsidR="00A14A8F" w:rsidRPr="00A14A8F">
        <w:rPr>
          <w:b/>
        </w:rPr>
      </w:r>
      <w:r w:rsidR="00A14A8F" w:rsidRPr="00A14A8F">
        <w:rPr>
          <w:b/>
        </w:rPr>
        <w:fldChar w:fldCharType="separate"/>
      </w:r>
      <w:r w:rsidR="00B74B5B" w:rsidRPr="00B74B5B">
        <w:rPr>
          <w:b/>
        </w:rPr>
        <w:t xml:space="preserve">Table </w:t>
      </w:r>
      <w:r w:rsidR="00B74B5B" w:rsidRPr="00B74B5B">
        <w:rPr>
          <w:b/>
          <w:noProof/>
        </w:rPr>
        <w:t>4</w:t>
      </w:r>
      <w:r w:rsidR="00A14A8F" w:rsidRPr="00A14A8F">
        <w:rPr>
          <w:b/>
        </w:rPr>
        <w:fldChar w:fldCharType="end"/>
      </w:r>
      <w:r>
        <w:rPr>
          <w:b/>
        </w:rPr>
        <w:t xml:space="preserve">.  </w:t>
      </w:r>
    </w:p>
    <w:p w:rsidR="00252911" w:rsidRPr="00EC298B" w:rsidRDefault="00336FFE" w:rsidP="00303367">
      <w:pPr>
        <w:pStyle w:val="Caption"/>
        <w:keepNext/>
        <w:rPr>
          <w:bCs w:val="0"/>
          <w:caps w:val="0"/>
          <w:sz w:val="24"/>
          <w:szCs w:val="22"/>
        </w:rPr>
      </w:pPr>
      <w:bookmarkStart w:id="36" w:name="_Ref453937131"/>
      <w:r w:rsidRPr="00EC298B">
        <w:rPr>
          <w:bCs w:val="0"/>
          <w:caps w:val="0"/>
          <w:sz w:val="24"/>
          <w:szCs w:val="22"/>
        </w:rPr>
        <w:t xml:space="preserve">Table </w:t>
      </w:r>
      <w:r w:rsidR="00826269" w:rsidRPr="00EC298B">
        <w:rPr>
          <w:bCs w:val="0"/>
          <w:caps w:val="0"/>
          <w:sz w:val="24"/>
          <w:szCs w:val="22"/>
        </w:rPr>
        <w:fldChar w:fldCharType="begin"/>
      </w:r>
      <w:r w:rsidR="00826269" w:rsidRPr="00EC298B">
        <w:rPr>
          <w:bCs w:val="0"/>
          <w:caps w:val="0"/>
          <w:sz w:val="24"/>
          <w:szCs w:val="22"/>
        </w:rPr>
        <w:instrText xml:space="preserve"> SEQ Table \* ARABIC </w:instrText>
      </w:r>
      <w:r w:rsidR="00826269" w:rsidRPr="00EC298B">
        <w:rPr>
          <w:bCs w:val="0"/>
          <w:caps w:val="0"/>
          <w:sz w:val="24"/>
          <w:szCs w:val="22"/>
        </w:rPr>
        <w:fldChar w:fldCharType="separate"/>
      </w:r>
      <w:r w:rsidR="00B74B5B">
        <w:rPr>
          <w:bCs w:val="0"/>
          <w:caps w:val="0"/>
          <w:noProof/>
          <w:sz w:val="24"/>
          <w:szCs w:val="22"/>
        </w:rPr>
        <w:t>4</w:t>
      </w:r>
      <w:r w:rsidR="00826269" w:rsidRPr="00EC298B">
        <w:rPr>
          <w:bCs w:val="0"/>
          <w:caps w:val="0"/>
          <w:sz w:val="24"/>
          <w:szCs w:val="22"/>
        </w:rPr>
        <w:fldChar w:fldCharType="end"/>
      </w:r>
      <w:bookmarkEnd w:id="36"/>
      <w:r w:rsidRPr="00EC298B">
        <w:rPr>
          <w:bCs w:val="0"/>
          <w:caps w:val="0"/>
          <w:sz w:val="24"/>
          <w:szCs w:val="22"/>
        </w:rPr>
        <w:t>: Description of Minimum Design Category Requirements</w:t>
      </w:r>
    </w:p>
    <w:tbl>
      <w:tblPr>
        <w:tblStyle w:val="TableGrid"/>
        <w:tblW w:w="14062" w:type="dxa"/>
        <w:tblInd w:w="10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Caption w:val="Detailed table of SDA design category"/>
        <w:tblDescription w:val="includes definition and minimum requirements for all design categories, basic, improved livability, fully accessible, robust and high physical support"/>
      </w:tblPr>
      <w:tblGrid>
        <w:gridCol w:w="1521"/>
        <w:gridCol w:w="3469"/>
        <w:gridCol w:w="9072"/>
      </w:tblGrid>
      <w:tr w:rsidR="00252911" w:rsidRPr="009655D6" w:rsidTr="00EC298B">
        <w:trPr>
          <w:tblHeader/>
        </w:trPr>
        <w:tc>
          <w:tcPr>
            <w:tcW w:w="1521" w:type="dxa"/>
            <w:shd w:val="clear" w:color="auto" w:fill="7030A0"/>
            <w:vAlign w:val="center"/>
          </w:tcPr>
          <w:p w:rsidR="00252911" w:rsidRPr="009655D6" w:rsidRDefault="00252911" w:rsidP="00864710">
            <w:pPr>
              <w:keepNext/>
              <w:rPr>
                <w:b/>
                <w:color w:val="FFFFFF" w:themeColor="background1"/>
                <w:sz w:val="20"/>
                <w:szCs w:val="20"/>
              </w:rPr>
            </w:pPr>
            <w:r>
              <w:rPr>
                <w:b/>
                <w:color w:val="FFFFFF" w:themeColor="background1"/>
                <w:sz w:val="20"/>
                <w:szCs w:val="20"/>
              </w:rPr>
              <w:t xml:space="preserve">SDA </w:t>
            </w:r>
            <w:r w:rsidR="00864710">
              <w:rPr>
                <w:b/>
                <w:color w:val="FFFFFF" w:themeColor="background1"/>
                <w:sz w:val="20"/>
                <w:szCs w:val="20"/>
              </w:rPr>
              <w:t>D</w:t>
            </w:r>
            <w:r>
              <w:rPr>
                <w:b/>
                <w:color w:val="FFFFFF" w:themeColor="background1"/>
                <w:sz w:val="20"/>
                <w:szCs w:val="20"/>
              </w:rPr>
              <w:t xml:space="preserve">esign </w:t>
            </w:r>
            <w:r w:rsidR="00864710">
              <w:rPr>
                <w:b/>
                <w:color w:val="FFFFFF" w:themeColor="background1"/>
                <w:sz w:val="20"/>
                <w:szCs w:val="20"/>
              </w:rPr>
              <w:t>C</w:t>
            </w:r>
            <w:r w:rsidRPr="009655D6">
              <w:rPr>
                <w:b/>
                <w:color w:val="FFFFFF" w:themeColor="background1"/>
                <w:sz w:val="20"/>
                <w:szCs w:val="20"/>
              </w:rPr>
              <w:t>ategory</w:t>
            </w:r>
          </w:p>
        </w:tc>
        <w:tc>
          <w:tcPr>
            <w:tcW w:w="3469" w:type="dxa"/>
            <w:shd w:val="clear" w:color="auto" w:fill="7030A0"/>
            <w:vAlign w:val="center"/>
          </w:tcPr>
          <w:p w:rsidR="00252911" w:rsidRPr="009655D6" w:rsidRDefault="00252911" w:rsidP="00303367">
            <w:pPr>
              <w:keepNext/>
              <w:rPr>
                <w:b/>
                <w:color w:val="FFFFFF" w:themeColor="background1"/>
                <w:sz w:val="20"/>
                <w:szCs w:val="20"/>
              </w:rPr>
            </w:pPr>
            <w:r w:rsidRPr="009655D6">
              <w:rPr>
                <w:b/>
                <w:color w:val="FFFFFF" w:themeColor="background1"/>
                <w:sz w:val="20"/>
                <w:szCs w:val="20"/>
              </w:rPr>
              <w:t>Definition</w:t>
            </w:r>
          </w:p>
        </w:tc>
        <w:tc>
          <w:tcPr>
            <w:tcW w:w="9072" w:type="dxa"/>
            <w:shd w:val="clear" w:color="auto" w:fill="7030A0"/>
            <w:vAlign w:val="center"/>
          </w:tcPr>
          <w:p w:rsidR="00252911" w:rsidRPr="009655D6" w:rsidRDefault="00524C89" w:rsidP="00303367">
            <w:pPr>
              <w:keepNext/>
              <w:rPr>
                <w:b/>
                <w:color w:val="FFFFFF" w:themeColor="background1"/>
                <w:sz w:val="20"/>
                <w:szCs w:val="20"/>
              </w:rPr>
            </w:pPr>
            <w:r>
              <w:rPr>
                <w:b/>
                <w:color w:val="FFFFFF" w:themeColor="background1"/>
                <w:sz w:val="20"/>
                <w:szCs w:val="20"/>
              </w:rPr>
              <w:t>Minimum Requirements</w:t>
            </w:r>
          </w:p>
        </w:tc>
      </w:tr>
      <w:tr w:rsidR="00252911" w:rsidRPr="00581AC4" w:rsidTr="00EC298B">
        <w:tc>
          <w:tcPr>
            <w:tcW w:w="1521" w:type="dxa"/>
            <w:vAlign w:val="center"/>
          </w:tcPr>
          <w:p w:rsidR="00252911" w:rsidRPr="007B7D09" w:rsidRDefault="00252911" w:rsidP="00303367">
            <w:pPr>
              <w:keepNext/>
              <w:rPr>
                <w:b/>
                <w:sz w:val="20"/>
                <w:szCs w:val="20"/>
              </w:rPr>
            </w:pPr>
            <w:r w:rsidRPr="007B7D09">
              <w:rPr>
                <w:b/>
                <w:sz w:val="20"/>
                <w:szCs w:val="20"/>
              </w:rPr>
              <w:t xml:space="preserve">Basic </w:t>
            </w:r>
          </w:p>
        </w:tc>
        <w:tc>
          <w:tcPr>
            <w:tcW w:w="3469" w:type="dxa"/>
            <w:vAlign w:val="center"/>
          </w:tcPr>
          <w:p w:rsidR="004A237C" w:rsidRPr="00294EE7" w:rsidRDefault="00252911" w:rsidP="00792484">
            <w:pPr>
              <w:keepNext/>
              <w:rPr>
                <w:sz w:val="20"/>
                <w:szCs w:val="20"/>
              </w:rPr>
            </w:pPr>
            <w:r w:rsidRPr="004C01F6">
              <w:rPr>
                <w:sz w:val="20"/>
                <w:szCs w:val="20"/>
              </w:rPr>
              <w:t>Housing without specialis</w:t>
            </w:r>
            <w:r w:rsidR="00C95EA5">
              <w:rPr>
                <w:sz w:val="20"/>
                <w:szCs w:val="20"/>
              </w:rPr>
              <w:t>t</w:t>
            </w:r>
            <w:r w:rsidRPr="004C01F6">
              <w:rPr>
                <w:sz w:val="20"/>
                <w:szCs w:val="20"/>
              </w:rPr>
              <w:t xml:space="preserve"> design features but with </w:t>
            </w:r>
            <w:r w:rsidR="009D1CB1">
              <w:rPr>
                <w:sz w:val="20"/>
                <w:szCs w:val="20"/>
              </w:rPr>
              <w:t>a location or</w:t>
            </w:r>
            <w:r w:rsidR="00C95EA5">
              <w:rPr>
                <w:sz w:val="20"/>
                <w:szCs w:val="20"/>
              </w:rPr>
              <w:t xml:space="preserve"> </w:t>
            </w:r>
            <w:r w:rsidRPr="004C01F6">
              <w:rPr>
                <w:sz w:val="20"/>
                <w:szCs w:val="20"/>
              </w:rPr>
              <w:t xml:space="preserve">other </w:t>
            </w:r>
            <w:r w:rsidR="00C95EA5">
              <w:rPr>
                <w:sz w:val="20"/>
                <w:szCs w:val="20"/>
              </w:rPr>
              <w:t>features that cater for the needs of people with disability and assist with the delivery of support services</w:t>
            </w:r>
            <w:r w:rsidRPr="00294EE7">
              <w:rPr>
                <w:sz w:val="20"/>
                <w:szCs w:val="20"/>
              </w:rPr>
              <w:t xml:space="preserve">  </w:t>
            </w:r>
          </w:p>
        </w:tc>
        <w:tc>
          <w:tcPr>
            <w:tcW w:w="9072" w:type="dxa"/>
            <w:vAlign w:val="center"/>
          </w:tcPr>
          <w:p w:rsidR="00252911" w:rsidRPr="00581AC4" w:rsidRDefault="009828BF" w:rsidP="00303367">
            <w:pPr>
              <w:keepNext/>
              <w:ind w:left="-6"/>
              <w:rPr>
                <w:sz w:val="20"/>
                <w:szCs w:val="20"/>
              </w:rPr>
            </w:pPr>
            <w:r>
              <w:rPr>
                <w:sz w:val="20"/>
                <w:szCs w:val="20"/>
              </w:rPr>
              <w:t>The Basic design category only applies for Existing Stock or Legacy Stock (SDA Rules 6.10(c)) and cannot be included in a participant’s plan except as an alternative interim option or if the participant already lives in Basic design SDA (SDA Rules 4.4 and 4.11)</w:t>
            </w:r>
          </w:p>
        </w:tc>
      </w:tr>
      <w:tr w:rsidR="00252911" w:rsidRPr="0069103E" w:rsidTr="00EC298B">
        <w:tc>
          <w:tcPr>
            <w:tcW w:w="1521" w:type="dxa"/>
            <w:vAlign w:val="center"/>
          </w:tcPr>
          <w:p w:rsidR="00252911" w:rsidRPr="004C01F6" w:rsidRDefault="00252911" w:rsidP="00303367">
            <w:pPr>
              <w:keepNext/>
              <w:rPr>
                <w:b/>
                <w:sz w:val="20"/>
                <w:szCs w:val="20"/>
              </w:rPr>
            </w:pPr>
            <w:r w:rsidRPr="007B7D09">
              <w:rPr>
                <w:b/>
                <w:sz w:val="20"/>
                <w:szCs w:val="20"/>
              </w:rPr>
              <w:t xml:space="preserve">Improved </w:t>
            </w:r>
            <w:r w:rsidRPr="004C01F6">
              <w:rPr>
                <w:b/>
                <w:sz w:val="20"/>
                <w:szCs w:val="20"/>
              </w:rPr>
              <w:t>Liv</w:t>
            </w:r>
            <w:r w:rsidR="002C59FD">
              <w:rPr>
                <w:b/>
                <w:sz w:val="20"/>
                <w:szCs w:val="20"/>
              </w:rPr>
              <w:t>e</w:t>
            </w:r>
            <w:r w:rsidRPr="004C01F6">
              <w:rPr>
                <w:b/>
                <w:sz w:val="20"/>
                <w:szCs w:val="20"/>
              </w:rPr>
              <w:t>ability</w:t>
            </w:r>
          </w:p>
        </w:tc>
        <w:tc>
          <w:tcPr>
            <w:tcW w:w="3469" w:type="dxa"/>
            <w:vAlign w:val="center"/>
          </w:tcPr>
          <w:p w:rsidR="00252911" w:rsidRPr="00294EE7" w:rsidRDefault="00252911" w:rsidP="009828BF">
            <w:pPr>
              <w:keepNext/>
              <w:rPr>
                <w:sz w:val="20"/>
                <w:szCs w:val="20"/>
              </w:rPr>
            </w:pPr>
            <w:r w:rsidRPr="00294EE7">
              <w:rPr>
                <w:sz w:val="20"/>
                <w:szCs w:val="20"/>
              </w:rPr>
              <w:t>Housing that has been designed to improve ‘</w:t>
            </w:r>
            <w:r w:rsidR="009828BF">
              <w:rPr>
                <w:sz w:val="20"/>
                <w:szCs w:val="20"/>
              </w:rPr>
              <w:t>l</w:t>
            </w:r>
            <w:r w:rsidRPr="00294EE7">
              <w:rPr>
                <w:sz w:val="20"/>
                <w:szCs w:val="20"/>
              </w:rPr>
              <w:t>iv</w:t>
            </w:r>
            <w:r w:rsidR="002C59FD">
              <w:rPr>
                <w:sz w:val="20"/>
                <w:szCs w:val="20"/>
              </w:rPr>
              <w:t>e</w:t>
            </w:r>
            <w:r w:rsidRPr="00294EE7">
              <w:rPr>
                <w:sz w:val="20"/>
                <w:szCs w:val="20"/>
              </w:rPr>
              <w:t>ability’ by incorporating a reasonable level of physical access and enhanced provision for people with sensory, intellectual or cognitive impairment</w:t>
            </w:r>
          </w:p>
        </w:tc>
        <w:tc>
          <w:tcPr>
            <w:tcW w:w="9072" w:type="dxa"/>
            <w:vAlign w:val="center"/>
          </w:tcPr>
          <w:p w:rsidR="00252911" w:rsidRPr="00FC5E27" w:rsidRDefault="00252911" w:rsidP="00EC298B">
            <w:pPr>
              <w:pStyle w:val="ListParagraph"/>
              <w:keepNext/>
              <w:numPr>
                <w:ilvl w:val="0"/>
                <w:numId w:val="5"/>
              </w:numPr>
              <w:spacing w:before="60" w:after="60" w:line="288" w:lineRule="auto"/>
              <w:ind w:left="136" w:hanging="142"/>
              <w:contextualSpacing w:val="0"/>
              <w:rPr>
                <w:sz w:val="20"/>
                <w:szCs w:val="20"/>
              </w:rPr>
            </w:pPr>
            <w:r w:rsidRPr="00FC5E27">
              <w:rPr>
                <w:sz w:val="20"/>
                <w:szCs w:val="20"/>
              </w:rPr>
              <w:t>Livable Housing Australia ‘Silver’ level</w:t>
            </w:r>
          </w:p>
          <w:p w:rsidR="00252911" w:rsidRPr="0069103E" w:rsidRDefault="001E2571" w:rsidP="00EC298B">
            <w:pPr>
              <w:pStyle w:val="ListParagraph"/>
              <w:keepNext/>
              <w:numPr>
                <w:ilvl w:val="0"/>
                <w:numId w:val="5"/>
              </w:numPr>
              <w:spacing w:before="60" w:after="60" w:line="288" w:lineRule="auto"/>
              <w:ind w:left="134" w:hanging="142"/>
              <w:contextualSpacing w:val="0"/>
              <w:rPr>
                <w:sz w:val="20"/>
                <w:szCs w:val="20"/>
              </w:rPr>
            </w:pPr>
            <w:r>
              <w:rPr>
                <w:sz w:val="20"/>
                <w:szCs w:val="20"/>
              </w:rPr>
              <w:t>T</w:t>
            </w:r>
            <w:r w:rsidR="00B91062">
              <w:rPr>
                <w:sz w:val="20"/>
                <w:szCs w:val="20"/>
              </w:rPr>
              <w:t>he designed environment respond</w:t>
            </w:r>
            <w:r w:rsidR="00CB09A8">
              <w:rPr>
                <w:sz w:val="20"/>
                <w:szCs w:val="20"/>
              </w:rPr>
              <w:t>s</w:t>
            </w:r>
            <w:r w:rsidR="00B91062">
              <w:rPr>
                <w:sz w:val="20"/>
                <w:szCs w:val="20"/>
              </w:rPr>
              <w:t xml:space="preserve"> to </w:t>
            </w:r>
            <w:r>
              <w:rPr>
                <w:sz w:val="20"/>
                <w:szCs w:val="20"/>
              </w:rPr>
              <w:t xml:space="preserve">the </w:t>
            </w:r>
            <w:r w:rsidR="00CB09A8">
              <w:rPr>
                <w:sz w:val="20"/>
                <w:szCs w:val="20"/>
              </w:rPr>
              <w:t>needs</w:t>
            </w:r>
            <w:r w:rsidR="009D1CB1">
              <w:rPr>
                <w:sz w:val="20"/>
                <w:szCs w:val="20"/>
              </w:rPr>
              <w:t xml:space="preserve"> of</w:t>
            </w:r>
            <w:r w:rsidR="00CB09A8">
              <w:rPr>
                <w:sz w:val="20"/>
                <w:szCs w:val="20"/>
              </w:rPr>
              <w:t xml:space="preserve"> participant</w:t>
            </w:r>
            <w:r w:rsidR="00A130AB">
              <w:rPr>
                <w:sz w:val="20"/>
                <w:szCs w:val="20"/>
              </w:rPr>
              <w:t>s</w:t>
            </w:r>
            <w:r w:rsidR="00CB09A8">
              <w:rPr>
                <w:sz w:val="20"/>
                <w:szCs w:val="20"/>
              </w:rPr>
              <w:t xml:space="preserve"> through improved </w:t>
            </w:r>
            <w:r w:rsidR="00CB09A8" w:rsidRPr="00294EE7">
              <w:rPr>
                <w:sz w:val="20"/>
                <w:szCs w:val="20"/>
              </w:rPr>
              <w:t xml:space="preserve">physical access and enhanced provision for </w:t>
            </w:r>
            <w:r w:rsidR="00CB09A8">
              <w:rPr>
                <w:sz w:val="20"/>
                <w:szCs w:val="20"/>
              </w:rPr>
              <w:t xml:space="preserve">participants </w:t>
            </w:r>
            <w:r w:rsidR="00CB09A8" w:rsidRPr="00294EE7">
              <w:rPr>
                <w:sz w:val="20"/>
                <w:szCs w:val="20"/>
              </w:rPr>
              <w:t>with sensory, intellectual or cognitive impairment</w:t>
            </w:r>
            <w:r w:rsidR="00B91062">
              <w:rPr>
                <w:sz w:val="20"/>
                <w:szCs w:val="20"/>
              </w:rPr>
              <w:t>. For example Improved Liv</w:t>
            </w:r>
            <w:r w:rsidR="002C59FD">
              <w:rPr>
                <w:sz w:val="20"/>
                <w:szCs w:val="20"/>
              </w:rPr>
              <w:t>e</w:t>
            </w:r>
            <w:r w:rsidR="00B91062">
              <w:rPr>
                <w:sz w:val="20"/>
                <w:szCs w:val="20"/>
              </w:rPr>
              <w:t>ability dwellings should include o</w:t>
            </w:r>
            <w:r w:rsidR="00252911" w:rsidRPr="0069103E">
              <w:rPr>
                <w:sz w:val="20"/>
                <w:szCs w:val="20"/>
              </w:rPr>
              <w:t xml:space="preserve">ne or more </w:t>
            </w:r>
            <w:r w:rsidR="00B91062">
              <w:rPr>
                <w:sz w:val="20"/>
                <w:szCs w:val="20"/>
              </w:rPr>
              <w:t xml:space="preserve">additional </w:t>
            </w:r>
            <w:r w:rsidR="00252911" w:rsidRPr="0069103E">
              <w:rPr>
                <w:sz w:val="20"/>
                <w:szCs w:val="20"/>
              </w:rPr>
              <w:t xml:space="preserve">design features such as luminance contrasts, improved wayfinding </w:t>
            </w:r>
            <w:r w:rsidR="009D1CB1">
              <w:rPr>
                <w:sz w:val="20"/>
                <w:szCs w:val="20"/>
              </w:rPr>
              <w:t>and/</w:t>
            </w:r>
            <w:r w:rsidR="00252911" w:rsidRPr="0069103E">
              <w:rPr>
                <w:sz w:val="20"/>
                <w:szCs w:val="20"/>
              </w:rPr>
              <w:t>or lines of sight</w:t>
            </w:r>
            <w:r w:rsidR="00B91062">
              <w:rPr>
                <w:sz w:val="20"/>
                <w:szCs w:val="20"/>
              </w:rPr>
              <w:t xml:space="preserve"> depending on the needs of the </w:t>
            </w:r>
            <w:r w:rsidR="002B3182">
              <w:rPr>
                <w:sz w:val="20"/>
                <w:szCs w:val="20"/>
              </w:rPr>
              <w:t>participants.</w:t>
            </w:r>
          </w:p>
        </w:tc>
      </w:tr>
      <w:tr w:rsidR="00252911" w:rsidRPr="0069103E" w:rsidTr="00EC298B">
        <w:tc>
          <w:tcPr>
            <w:tcW w:w="1521" w:type="dxa"/>
            <w:vAlign w:val="center"/>
          </w:tcPr>
          <w:p w:rsidR="00252911" w:rsidRPr="004C01F6" w:rsidRDefault="00252911" w:rsidP="0032246B">
            <w:pPr>
              <w:rPr>
                <w:b/>
                <w:sz w:val="20"/>
                <w:szCs w:val="20"/>
              </w:rPr>
            </w:pPr>
            <w:r w:rsidRPr="007B7D09">
              <w:rPr>
                <w:b/>
                <w:sz w:val="20"/>
                <w:szCs w:val="20"/>
              </w:rPr>
              <w:t>Ful</w:t>
            </w:r>
            <w:r w:rsidRPr="004C01F6">
              <w:rPr>
                <w:b/>
                <w:sz w:val="20"/>
                <w:szCs w:val="20"/>
              </w:rPr>
              <w:t>ly Accessible</w:t>
            </w:r>
          </w:p>
        </w:tc>
        <w:tc>
          <w:tcPr>
            <w:tcW w:w="3469" w:type="dxa"/>
            <w:vAlign w:val="center"/>
          </w:tcPr>
          <w:p w:rsidR="00252911" w:rsidRPr="00FC5E27" w:rsidRDefault="00252911" w:rsidP="0032246B">
            <w:pPr>
              <w:rPr>
                <w:sz w:val="20"/>
                <w:szCs w:val="20"/>
              </w:rPr>
            </w:pPr>
            <w:r w:rsidRPr="00294EE7">
              <w:rPr>
                <w:sz w:val="20"/>
                <w:szCs w:val="20"/>
              </w:rPr>
              <w:t>Housing that has been designed to incorporate a high level of physical access provision for people with significan</w:t>
            </w:r>
            <w:r w:rsidRPr="00FC5E27">
              <w:rPr>
                <w:sz w:val="20"/>
                <w:szCs w:val="20"/>
              </w:rPr>
              <w:t xml:space="preserve">t physical impairment </w:t>
            </w:r>
          </w:p>
        </w:tc>
        <w:tc>
          <w:tcPr>
            <w:tcW w:w="9072" w:type="dxa"/>
            <w:vAlign w:val="center"/>
          </w:tcPr>
          <w:p w:rsidR="00252911" w:rsidRPr="00FC5E27" w:rsidRDefault="00252911" w:rsidP="00EC298B">
            <w:pPr>
              <w:pStyle w:val="ListParagraph"/>
              <w:numPr>
                <w:ilvl w:val="0"/>
                <w:numId w:val="5"/>
              </w:numPr>
              <w:spacing w:before="60" w:after="60" w:line="288" w:lineRule="auto"/>
              <w:ind w:left="136" w:hanging="142"/>
              <w:contextualSpacing w:val="0"/>
              <w:rPr>
                <w:sz w:val="20"/>
                <w:szCs w:val="20"/>
              </w:rPr>
            </w:pPr>
            <w:r w:rsidRPr="00FC5E27">
              <w:rPr>
                <w:sz w:val="20"/>
                <w:szCs w:val="20"/>
              </w:rPr>
              <w:t>Livable Housing Australia ‘Platinum’ level</w:t>
            </w:r>
          </w:p>
          <w:p w:rsidR="00252911" w:rsidRPr="0069103E" w:rsidRDefault="00252911" w:rsidP="00EC298B">
            <w:pPr>
              <w:numPr>
                <w:ilvl w:val="0"/>
                <w:numId w:val="4"/>
              </w:numPr>
              <w:spacing w:before="60" w:after="60" w:line="288" w:lineRule="auto"/>
              <w:ind w:left="134" w:hanging="134"/>
              <w:rPr>
                <w:rFonts w:eastAsia="Times New Roman"/>
                <w:sz w:val="20"/>
                <w:szCs w:val="20"/>
              </w:rPr>
            </w:pPr>
            <w:r w:rsidRPr="0069103E">
              <w:rPr>
                <w:rFonts w:eastAsia="Times New Roman"/>
                <w:sz w:val="20"/>
                <w:szCs w:val="20"/>
              </w:rPr>
              <w:t xml:space="preserve">External doors and external outdoor private areas to be accessible by wheelchair </w:t>
            </w:r>
          </w:p>
          <w:p w:rsidR="00252911" w:rsidRPr="0069103E" w:rsidRDefault="00252911" w:rsidP="00EC298B">
            <w:pPr>
              <w:numPr>
                <w:ilvl w:val="0"/>
                <w:numId w:val="4"/>
              </w:numPr>
              <w:spacing w:before="60" w:after="60" w:line="288" w:lineRule="auto"/>
              <w:ind w:left="134" w:hanging="134"/>
              <w:rPr>
                <w:rFonts w:eastAsia="Times New Roman"/>
                <w:sz w:val="20"/>
                <w:szCs w:val="20"/>
              </w:rPr>
            </w:pPr>
            <w:r w:rsidRPr="0069103E">
              <w:rPr>
                <w:rFonts w:eastAsia="Times New Roman"/>
                <w:sz w:val="20"/>
                <w:szCs w:val="20"/>
              </w:rPr>
              <w:t>Bathroom vanity/hand basin to be accessible in seated or standing position</w:t>
            </w:r>
          </w:p>
          <w:p w:rsidR="00252911" w:rsidRPr="0069103E" w:rsidRDefault="00252911" w:rsidP="00EC298B">
            <w:pPr>
              <w:numPr>
                <w:ilvl w:val="0"/>
                <w:numId w:val="4"/>
              </w:numPr>
              <w:spacing w:before="60" w:after="60" w:line="288" w:lineRule="auto"/>
              <w:ind w:left="134" w:hanging="134"/>
              <w:rPr>
                <w:rFonts w:eastAsia="Times New Roman"/>
                <w:sz w:val="20"/>
                <w:szCs w:val="20"/>
              </w:rPr>
            </w:pPr>
            <w:r w:rsidRPr="0069103E">
              <w:rPr>
                <w:rFonts w:eastAsia="Times New Roman"/>
                <w:sz w:val="20"/>
                <w:szCs w:val="20"/>
              </w:rPr>
              <w:t>Power supply to doors and windows (blinds), for retrofit of automation as necessary</w:t>
            </w:r>
          </w:p>
          <w:p w:rsidR="00252911" w:rsidRPr="0069103E" w:rsidRDefault="00252911" w:rsidP="00EC298B">
            <w:pPr>
              <w:numPr>
                <w:ilvl w:val="0"/>
                <w:numId w:val="4"/>
              </w:numPr>
              <w:spacing w:before="60" w:after="60" w:line="288" w:lineRule="auto"/>
              <w:ind w:left="134" w:hanging="134"/>
              <w:rPr>
                <w:rFonts w:eastAsia="Times New Roman"/>
                <w:sz w:val="20"/>
                <w:szCs w:val="20"/>
              </w:rPr>
            </w:pPr>
            <w:r w:rsidRPr="0069103E">
              <w:rPr>
                <w:rFonts w:eastAsia="Times New Roman"/>
                <w:sz w:val="20"/>
                <w:szCs w:val="20"/>
              </w:rPr>
              <w:t>Consideration must be given to whether it is appropriate for the kitchen sink, cooktop, meal preparation bench area and key appliances (dishwasher, oven, microwave oven, laundry appliances) to be accessible in seated or standing position</w:t>
            </w:r>
          </w:p>
        </w:tc>
      </w:tr>
      <w:tr w:rsidR="00252911" w:rsidRPr="00CD197F" w:rsidTr="00EC298B">
        <w:tc>
          <w:tcPr>
            <w:tcW w:w="1521" w:type="dxa"/>
            <w:tcBorders>
              <w:bottom w:val="single" w:sz="4" w:space="0" w:color="7030A0"/>
            </w:tcBorders>
            <w:vAlign w:val="center"/>
          </w:tcPr>
          <w:p w:rsidR="00252911" w:rsidRPr="007B7D09" w:rsidRDefault="00252911" w:rsidP="0032246B">
            <w:pPr>
              <w:rPr>
                <w:b/>
                <w:sz w:val="20"/>
                <w:szCs w:val="20"/>
              </w:rPr>
            </w:pPr>
            <w:r w:rsidRPr="007B7D09">
              <w:rPr>
                <w:b/>
                <w:sz w:val="20"/>
                <w:szCs w:val="20"/>
              </w:rPr>
              <w:t>Robust</w:t>
            </w:r>
          </w:p>
        </w:tc>
        <w:tc>
          <w:tcPr>
            <w:tcW w:w="3469" w:type="dxa"/>
            <w:tcBorders>
              <w:bottom w:val="single" w:sz="4" w:space="0" w:color="7030A0"/>
            </w:tcBorders>
            <w:vAlign w:val="center"/>
          </w:tcPr>
          <w:p w:rsidR="00252911" w:rsidRPr="00FC5E27" w:rsidRDefault="00252911" w:rsidP="0032246B">
            <w:pPr>
              <w:rPr>
                <w:sz w:val="20"/>
                <w:szCs w:val="20"/>
              </w:rPr>
            </w:pPr>
            <w:r w:rsidRPr="004C01F6">
              <w:rPr>
                <w:sz w:val="20"/>
                <w:szCs w:val="20"/>
              </w:rPr>
              <w:t>Housing that has been designed to incorporate a high level of physical ac</w:t>
            </w:r>
            <w:r w:rsidRPr="00294EE7">
              <w:rPr>
                <w:sz w:val="20"/>
                <w:szCs w:val="20"/>
              </w:rPr>
              <w:t>cess provision and be very resilient, reducing the likelihood of reactive maintenance and reducing the risk to the participant a</w:t>
            </w:r>
            <w:r w:rsidRPr="00FC5E27">
              <w:rPr>
                <w:sz w:val="20"/>
                <w:szCs w:val="20"/>
              </w:rPr>
              <w:t>nd the community.</w:t>
            </w:r>
          </w:p>
        </w:tc>
        <w:tc>
          <w:tcPr>
            <w:tcW w:w="9072" w:type="dxa"/>
            <w:tcBorders>
              <w:bottom w:val="single" w:sz="4" w:space="0" w:color="7030A0"/>
            </w:tcBorders>
            <w:vAlign w:val="center"/>
          </w:tcPr>
          <w:p w:rsidR="00252911" w:rsidRPr="00FC5E27" w:rsidRDefault="00252911" w:rsidP="00EC298B">
            <w:pPr>
              <w:pStyle w:val="ListParagraph"/>
              <w:numPr>
                <w:ilvl w:val="0"/>
                <w:numId w:val="5"/>
              </w:numPr>
              <w:spacing w:before="60" w:after="60" w:line="288" w:lineRule="auto"/>
              <w:ind w:left="136" w:hanging="142"/>
              <w:contextualSpacing w:val="0"/>
              <w:rPr>
                <w:sz w:val="20"/>
                <w:szCs w:val="20"/>
              </w:rPr>
            </w:pPr>
            <w:r w:rsidRPr="00FC5E27">
              <w:rPr>
                <w:sz w:val="20"/>
                <w:szCs w:val="20"/>
              </w:rPr>
              <w:t xml:space="preserve">Livable Housing Australia ‘Silver’ level </w:t>
            </w:r>
          </w:p>
          <w:p w:rsidR="00252911" w:rsidRPr="0069103E" w:rsidRDefault="00252911" w:rsidP="00EC298B">
            <w:pPr>
              <w:pStyle w:val="ListParagraph"/>
              <w:numPr>
                <w:ilvl w:val="0"/>
                <w:numId w:val="5"/>
              </w:numPr>
              <w:spacing w:before="60" w:after="60" w:line="288" w:lineRule="auto"/>
              <w:ind w:left="134" w:hanging="142"/>
              <w:contextualSpacing w:val="0"/>
              <w:rPr>
                <w:sz w:val="20"/>
                <w:szCs w:val="20"/>
              </w:rPr>
            </w:pPr>
            <w:r w:rsidRPr="0069103E">
              <w:rPr>
                <w:sz w:val="20"/>
                <w:szCs w:val="20"/>
              </w:rPr>
              <w:t>Resilient but inconspicuous materials that can withstand heavy use and minimises the risk of injury and neighbourhood disturbance including:</w:t>
            </w:r>
          </w:p>
          <w:p w:rsidR="00252911" w:rsidRPr="0069103E" w:rsidRDefault="00252911" w:rsidP="00EC298B">
            <w:pPr>
              <w:pStyle w:val="ListParagraph"/>
              <w:numPr>
                <w:ilvl w:val="0"/>
                <w:numId w:val="3"/>
              </w:numPr>
              <w:spacing w:before="60" w:after="60" w:line="288" w:lineRule="auto"/>
              <w:contextualSpacing w:val="0"/>
              <w:rPr>
                <w:sz w:val="20"/>
                <w:szCs w:val="20"/>
              </w:rPr>
            </w:pPr>
            <w:r w:rsidRPr="0069103E">
              <w:rPr>
                <w:sz w:val="20"/>
                <w:szCs w:val="20"/>
              </w:rPr>
              <w:t>high impact wall lining, fittings and fixtures (e.g.</w:t>
            </w:r>
            <w:r w:rsidR="00C63AA6">
              <w:rPr>
                <w:sz w:val="20"/>
                <w:szCs w:val="20"/>
              </w:rPr>
              <w:t> </w:t>
            </w:r>
            <w:r w:rsidRPr="0069103E">
              <w:rPr>
                <w:sz w:val="20"/>
                <w:szCs w:val="20"/>
              </w:rPr>
              <w:t xml:space="preserve">blinds, door handles) </w:t>
            </w:r>
          </w:p>
          <w:p w:rsidR="00252911" w:rsidRPr="0069103E" w:rsidRDefault="00252911" w:rsidP="00EC298B">
            <w:pPr>
              <w:pStyle w:val="ListParagraph"/>
              <w:numPr>
                <w:ilvl w:val="0"/>
                <w:numId w:val="3"/>
              </w:numPr>
              <w:spacing w:before="60" w:after="60" w:line="288" w:lineRule="auto"/>
              <w:contextualSpacing w:val="0"/>
              <w:rPr>
                <w:sz w:val="20"/>
                <w:szCs w:val="20"/>
              </w:rPr>
            </w:pPr>
            <w:r w:rsidRPr="0069103E">
              <w:rPr>
                <w:sz w:val="20"/>
                <w:szCs w:val="20"/>
              </w:rPr>
              <w:t>secure windows, doors and external areas</w:t>
            </w:r>
          </w:p>
          <w:p w:rsidR="00252911" w:rsidRPr="0069103E" w:rsidRDefault="00252911" w:rsidP="00EC298B">
            <w:pPr>
              <w:pStyle w:val="ListParagraph"/>
              <w:numPr>
                <w:ilvl w:val="0"/>
                <w:numId w:val="3"/>
              </w:numPr>
              <w:spacing w:before="60" w:after="60" w:line="288" w:lineRule="auto"/>
              <w:contextualSpacing w:val="0"/>
              <w:rPr>
                <w:sz w:val="20"/>
                <w:szCs w:val="20"/>
              </w:rPr>
            </w:pPr>
            <w:r w:rsidRPr="0069103E">
              <w:rPr>
                <w:sz w:val="20"/>
                <w:szCs w:val="20"/>
              </w:rPr>
              <w:t xml:space="preserve">appropriate sound proofing if residents are likely to cause </w:t>
            </w:r>
            <w:r>
              <w:rPr>
                <w:sz w:val="20"/>
                <w:szCs w:val="20"/>
              </w:rPr>
              <w:t xml:space="preserve">significant </w:t>
            </w:r>
            <w:r w:rsidRPr="0069103E">
              <w:rPr>
                <w:sz w:val="20"/>
                <w:szCs w:val="20"/>
              </w:rPr>
              <w:t>noise disturbances (</w:t>
            </w:r>
            <w:r>
              <w:rPr>
                <w:sz w:val="20"/>
                <w:szCs w:val="20"/>
              </w:rPr>
              <w:t>if required must retrofit in new builds if not previously installed at building stage</w:t>
            </w:r>
            <w:r w:rsidRPr="0069103E">
              <w:rPr>
                <w:sz w:val="20"/>
                <w:szCs w:val="20"/>
              </w:rPr>
              <w:t>)</w:t>
            </w:r>
          </w:p>
          <w:p w:rsidR="00252911" w:rsidRPr="0069103E" w:rsidRDefault="00252911" w:rsidP="00EC298B">
            <w:pPr>
              <w:pStyle w:val="ListParagraph"/>
              <w:numPr>
                <w:ilvl w:val="0"/>
                <w:numId w:val="3"/>
              </w:numPr>
              <w:spacing w:before="60" w:after="60" w:line="288" w:lineRule="auto"/>
              <w:contextualSpacing w:val="0"/>
              <w:rPr>
                <w:sz w:val="20"/>
                <w:szCs w:val="20"/>
              </w:rPr>
            </w:pPr>
            <w:r w:rsidRPr="0069103E">
              <w:rPr>
                <w:sz w:val="20"/>
                <w:szCs w:val="20"/>
              </w:rPr>
              <w:t>laminated glass</w:t>
            </w:r>
          </w:p>
          <w:p w:rsidR="00252911" w:rsidRPr="00AC7002" w:rsidRDefault="00252911" w:rsidP="00EC298B">
            <w:pPr>
              <w:pStyle w:val="ListParagraph"/>
              <w:numPr>
                <w:ilvl w:val="0"/>
                <w:numId w:val="5"/>
              </w:numPr>
              <w:spacing w:before="60" w:after="60" w:line="288" w:lineRule="auto"/>
              <w:ind w:left="134" w:hanging="142"/>
              <w:contextualSpacing w:val="0"/>
              <w:rPr>
                <w:sz w:val="20"/>
                <w:szCs w:val="20"/>
              </w:rPr>
            </w:pPr>
            <w:r w:rsidRPr="0069103E">
              <w:rPr>
                <w:sz w:val="20"/>
                <w:szCs w:val="20"/>
              </w:rPr>
              <w:t>Layout with areas of egress and retreat for staf</w:t>
            </w:r>
            <w:r w:rsidRPr="00AC7002">
              <w:rPr>
                <w:sz w:val="20"/>
                <w:szCs w:val="20"/>
              </w:rPr>
              <w:t>f and other residents to avoid harm if required</w:t>
            </w:r>
          </w:p>
          <w:p w:rsidR="00252911" w:rsidRPr="00CD197F" w:rsidRDefault="00252911" w:rsidP="00EC298B">
            <w:pPr>
              <w:pStyle w:val="ListParagraph"/>
              <w:numPr>
                <w:ilvl w:val="0"/>
                <w:numId w:val="5"/>
              </w:numPr>
              <w:spacing w:before="60" w:after="60" w:line="288" w:lineRule="auto"/>
              <w:ind w:left="134" w:hanging="142"/>
              <w:contextualSpacing w:val="0"/>
              <w:rPr>
                <w:sz w:val="20"/>
                <w:szCs w:val="20"/>
              </w:rPr>
            </w:pPr>
            <w:r w:rsidRPr="00AA44FB">
              <w:rPr>
                <w:sz w:val="20"/>
                <w:szCs w:val="20"/>
              </w:rPr>
              <w:t>Cons</w:t>
            </w:r>
            <w:r w:rsidRPr="00CD197F">
              <w:rPr>
                <w:sz w:val="20"/>
                <w:szCs w:val="20"/>
              </w:rPr>
              <w:t>ideration must be given to providing adequate space and safeguards throughout the property to accommodate the needs of residents with complex behaviours</w:t>
            </w:r>
          </w:p>
        </w:tc>
      </w:tr>
      <w:tr w:rsidR="00252911" w:rsidRPr="0069103E" w:rsidTr="00EC298B">
        <w:tc>
          <w:tcPr>
            <w:tcW w:w="1521" w:type="dxa"/>
            <w:tcBorders>
              <w:bottom w:val="single" w:sz="4" w:space="0" w:color="7030A0"/>
            </w:tcBorders>
            <w:vAlign w:val="center"/>
          </w:tcPr>
          <w:p w:rsidR="00252911" w:rsidRPr="007B7D09" w:rsidRDefault="00252911" w:rsidP="0032246B">
            <w:pPr>
              <w:rPr>
                <w:b/>
                <w:sz w:val="20"/>
                <w:szCs w:val="20"/>
              </w:rPr>
            </w:pPr>
            <w:r w:rsidRPr="007B7D09">
              <w:rPr>
                <w:b/>
                <w:sz w:val="20"/>
                <w:szCs w:val="20"/>
              </w:rPr>
              <w:t>High Physical Support</w:t>
            </w:r>
          </w:p>
        </w:tc>
        <w:tc>
          <w:tcPr>
            <w:tcW w:w="3469" w:type="dxa"/>
            <w:tcBorders>
              <w:bottom w:val="single" w:sz="4" w:space="0" w:color="7030A0"/>
            </w:tcBorders>
            <w:vAlign w:val="center"/>
          </w:tcPr>
          <w:p w:rsidR="00252911" w:rsidRPr="00294EE7" w:rsidRDefault="00252911" w:rsidP="0032246B">
            <w:pPr>
              <w:rPr>
                <w:sz w:val="20"/>
                <w:szCs w:val="20"/>
              </w:rPr>
            </w:pPr>
            <w:r w:rsidRPr="004C01F6">
              <w:rPr>
                <w:sz w:val="20"/>
                <w:szCs w:val="20"/>
              </w:rPr>
              <w:t>Housing that has been designed to incorporate a high level of physical access provision for people with sig</w:t>
            </w:r>
            <w:r w:rsidRPr="00294EE7">
              <w:rPr>
                <w:sz w:val="20"/>
                <w:szCs w:val="20"/>
              </w:rPr>
              <w:t>nificant physical impairment and requiring very high levels of support.</w:t>
            </w:r>
          </w:p>
        </w:tc>
        <w:tc>
          <w:tcPr>
            <w:tcW w:w="9072" w:type="dxa"/>
            <w:tcBorders>
              <w:bottom w:val="single" w:sz="4" w:space="0" w:color="7030A0"/>
            </w:tcBorders>
            <w:vAlign w:val="center"/>
          </w:tcPr>
          <w:p w:rsidR="001E2571" w:rsidRPr="00FC5E27" w:rsidRDefault="001E2571" w:rsidP="00EC298B">
            <w:pPr>
              <w:pStyle w:val="ListParagraph"/>
              <w:numPr>
                <w:ilvl w:val="0"/>
                <w:numId w:val="5"/>
              </w:numPr>
              <w:spacing w:before="60" w:after="60" w:line="288" w:lineRule="auto"/>
              <w:ind w:left="136" w:hanging="142"/>
              <w:contextualSpacing w:val="0"/>
              <w:rPr>
                <w:sz w:val="20"/>
                <w:szCs w:val="20"/>
              </w:rPr>
            </w:pPr>
            <w:r w:rsidRPr="00FC5E27">
              <w:rPr>
                <w:sz w:val="20"/>
                <w:szCs w:val="20"/>
              </w:rPr>
              <w:t>Livable Housing Australia ‘Platinum’ level</w:t>
            </w:r>
          </w:p>
          <w:p w:rsidR="001E2571" w:rsidRPr="0069103E" w:rsidRDefault="001E2571" w:rsidP="00EC298B">
            <w:pPr>
              <w:numPr>
                <w:ilvl w:val="0"/>
                <w:numId w:val="4"/>
              </w:numPr>
              <w:spacing w:before="60" w:after="60" w:line="288" w:lineRule="auto"/>
              <w:ind w:left="134" w:hanging="134"/>
              <w:rPr>
                <w:rFonts w:eastAsia="Times New Roman"/>
                <w:sz w:val="20"/>
                <w:szCs w:val="20"/>
              </w:rPr>
            </w:pPr>
            <w:r w:rsidRPr="0069103E">
              <w:rPr>
                <w:rFonts w:eastAsia="Times New Roman"/>
                <w:sz w:val="20"/>
                <w:szCs w:val="20"/>
              </w:rPr>
              <w:t xml:space="preserve">External doors and external outdoor private areas to be accessible by wheelchair </w:t>
            </w:r>
          </w:p>
          <w:p w:rsidR="001E2571" w:rsidRPr="0069103E" w:rsidRDefault="001E2571" w:rsidP="00EC298B">
            <w:pPr>
              <w:numPr>
                <w:ilvl w:val="0"/>
                <w:numId w:val="4"/>
              </w:numPr>
              <w:spacing w:before="60" w:after="60" w:line="288" w:lineRule="auto"/>
              <w:ind w:left="134" w:hanging="134"/>
              <w:rPr>
                <w:rFonts w:eastAsia="Times New Roman"/>
                <w:sz w:val="20"/>
                <w:szCs w:val="20"/>
              </w:rPr>
            </w:pPr>
            <w:r w:rsidRPr="0069103E">
              <w:rPr>
                <w:rFonts w:eastAsia="Times New Roman"/>
                <w:sz w:val="20"/>
                <w:szCs w:val="20"/>
              </w:rPr>
              <w:t>Bathroom vanity/hand basin to be accessible in seated or standing position</w:t>
            </w:r>
          </w:p>
          <w:p w:rsidR="001E2571" w:rsidRPr="0069103E" w:rsidRDefault="001E2571" w:rsidP="00EC298B">
            <w:pPr>
              <w:numPr>
                <w:ilvl w:val="0"/>
                <w:numId w:val="4"/>
              </w:numPr>
              <w:spacing w:before="60" w:after="60" w:line="288" w:lineRule="auto"/>
              <w:ind w:left="134" w:hanging="134"/>
              <w:rPr>
                <w:rFonts w:eastAsia="Times New Roman"/>
                <w:sz w:val="20"/>
                <w:szCs w:val="20"/>
              </w:rPr>
            </w:pPr>
            <w:r w:rsidRPr="0069103E">
              <w:rPr>
                <w:rFonts w:eastAsia="Times New Roman"/>
                <w:sz w:val="20"/>
                <w:szCs w:val="20"/>
              </w:rPr>
              <w:t>Power supply to doors and windows (blinds), for retrofit of automation as necessary</w:t>
            </w:r>
          </w:p>
          <w:p w:rsidR="001E2571" w:rsidRDefault="001E2571" w:rsidP="00EC298B">
            <w:pPr>
              <w:pStyle w:val="ListParagraph"/>
              <w:numPr>
                <w:ilvl w:val="0"/>
                <w:numId w:val="5"/>
              </w:numPr>
              <w:spacing w:before="60" w:after="60" w:line="288" w:lineRule="auto"/>
              <w:ind w:left="136" w:hanging="142"/>
              <w:contextualSpacing w:val="0"/>
              <w:rPr>
                <w:sz w:val="20"/>
                <w:szCs w:val="20"/>
              </w:rPr>
            </w:pPr>
            <w:r w:rsidRPr="0069103E">
              <w:rPr>
                <w:rFonts w:eastAsia="Times New Roman"/>
                <w:sz w:val="20"/>
                <w:szCs w:val="20"/>
              </w:rPr>
              <w:t>Consideration must be given to whether it is appropriate for the kitchen sink, cooktop, meal preparation bench area and key appliances (dishwasher, oven, microwave oven, laundry appliances) to be accessible in seated or standing position</w:t>
            </w:r>
          </w:p>
          <w:p w:rsidR="00252911" w:rsidRPr="00FC5E27" w:rsidRDefault="00252911" w:rsidP="00EC298B">
            <w:pPr>
              <w:pStyle w:val="ListParagraph"/>
              <w:numPr>
                <w:ilvl w:val="0"/>
                <w:numId w:val="47"/>
              </w:numPr>
              <w:spacing w:before="60" w:after="60" w:line="288" w:lineRule="auto"/>
              <w:ind w:left="176" w:hanging="176"/>
              <w:contextualSpacing w:val="0"/>
              <w:rPr>
                <w:sz w:val="20"/>
                <w:szCs w:val="20"/>
              </w:rPr>
            </w:pPr>
            <w:r w:rsidRPr="00FC5E27">
              <w:rPr>
                <w:sz w:val="20"/>
                <w:szCs w:val="20"/>
              </w:rPr>
              <w:t>Structural provision for ceiling hoists</w:t>
            </w:r>
          </w:p>
          <w:p w:rsidR="00252911" w:rsidRPr="0069103E" w:rsidRDefault="00252911" w:rsidP="00EC298B">
            <w:pPr>
              <w:pStyle w:val="ListParagraph"/>
              <w:numPr>
                <w:ilvl w:val="0"/>
                <w:numId w:val="47"/>
              </w:numPr>
              <w:spacing w:before="60" w:after="60" w:line="288" w:lineRule="auto"/>
              <w:ind w:left="176" w:hanging="176"/>
              <w:contextualSpacing w:val="0"/>
              <w:rPr>
                <w:sz w:val="20"/>
                <w:szCs w:val="20"/>
              </w:rPr>
            </w:pPr>
            <w:r w:rsidRPr="0069103E">
              <w:rPr>
                <w:sz w:val="20"/>
                <w:szCs w:val="20"/>
              </w:rPr>
              <w:t>Assistive technology ready</w:t>
            </w:r>
          </w:p>
          <w:p w:rsidR="00252911" w:rsidRPr="0069103E" w:rsidRDefault="00252911" w:rsidP="00EC298B">
            <w:pPr>
              <w:pStyle w:val="ListParagraph"/>
              <w:numPr>
                <w:ilvl w:val="0"/>
                <w:numId w:val="47"/>
              </w:numPr>
              <w:spacing w:before="60" w:after="60" w:line="288" w:lineRule="auto"/>
              <w:ind w:left="176" w:hanging="176"/>
              <w:contextualSpacing w:val="0"/>
              <w:rPr>
                <w:sz w:val="20"/>
                <w:szCs w:val="20"/>
              </w:rPr>
            </w:pPr>
            <w:r w:rsidRPr="0069103E">
              <w:rPr>
                <w:sz w:val="20"/>
                <w:szCs w:val="20"/>
              </w:rPr>
              <w:t>Heating/cooling and household communication technology (e.g. video or intercom systems) appropriate for the needs of residents</w:t>
            </w:r>
          </w:p>
          <w:p w:rsidR="00252911" w:rsidRPr="0069103E" w:rsidRDefault="00252911" w:rsidP="00EC298B">
            <w:pPr>
              <w:pStyle w:val="ListParagraph"/>
              <w:numPr>
                <w:ilvl w:val="0"/>
                <w:numId w:val="47"/>
              </w:numPr>
              <w:spacing w:before="60" w:after="60" w:line="288" w:lineRule="auto"/>
              <w:ind w:left="176" w:hanging="176"/>
              <w:contextualSpacing w:val="0"/>
              <w:rPr>
                <w:sz w:val="20"/>
                <w:szCs w:val="20"/>
              </w:rPr>
            </w:pPr>
            <w:r w:rsidRPr="0069103E">
              <w:rPr>
                <w:sz w:val="20"/>
                <w:szCs w:val="20"/>
              </w:rPr>
              <w:t xml:space="preserve">Emergency power solutions to cater for a minimum two hour outage where the welfare of participants is at risk </w:t>
            </w:r>
          </w:p>
          <w:p w:rsidR="00252911" w:rsidRPr="0069103E" w:rsidRDefault="00252911" w:rsidP="00EC298B">
            <w:pPr>
              <w:pStyle w:val="ListParagraph"/>
              <w:numPr>
                <w:ilvl w:val="0"/>
                <w:numId w:val="47"/>
              </w:numPr>
              <w:spacing w:before="60" w:after="60" w:line="288" w:lineRule="auto"/>
              <w:ind w:left="176" w:hanging="176"/>
              <w:contextualSpacing w:val="0"/>
              <w:rPr>
                <w:sz w:val="20"/>
                <w:szCs w:val="20"/>
              </w:rPr>
            </w:pPr>
            <w:r w:rsidRPr="0069103E">
              <w:rPr>
                <w:sz w:val="20"/>
                <w:szCs w:val="20"/>
              </w:rPr>
              <w:t>950mm minimum clear opening width doors to all habitable rooms</w:t>
            </w:r>
          </w:p>
        </w:tc>
      </w:tr>
    </w:tbl>
    <w:p w:rsidR="00252911" w:rsidRDefault="00252911" w:rsidP="00252911">
      <w:pPr>
        <w:rPr>
          <w:rFonts w:eastAsia="Times New Roman" w:cs="Arial"/>
          <w:szCs w:val="18"/>
          <w:lang w:val="en"/>
        </w:rPr>
      </w:pPr>
    </w:p>
    <w:p w:rsidR="00AF72C6" w:rsidRDefault="00AF72C6" w:rsidP="00A0200E">
      <w:pPr>
        <w:pStyle w:val="Heading2"/>
        <w:rPr>
          <w:rFonts w:eastAsia="Times New Roman"/>
          <w:lang w:val="en"/>
        </w:rPr>
        <w:sectPr w:rsidR="00AF72C6" w:rsidSect="00ED0573">
          <w:pgSz w:w="16838" w:h="11906" w:orient="landscape"/>
          <w:pgMar w:top="720" w:right="567" w:bottom="1560" w:left="1418" w:header="709" w:footer="709" w:gutter="0"/>
          <w:cols w:space="708"/>
          <w:titlePg/>
          <w:docGrid w:linePitch="360"/>
        </w:sectPr>
      </w:pPr>
    </w:p>
    <w:p w:rsidR="00790DB8" w:rsidRPr="002C1265" w:rsidRDefault="00566DB3" w:rsidP="00EC298B">
      <w:pPr>
        <w:pStyle w:val="Heading3"/>
        <w:rPr>
          <w:rFonts w:eastAsia="Times New Roman"/>
          <w:lang w:val="en"/>
        </w:rPr>
      </w:pPr>
      <w:r w:rsidRPr="002C1265">
        <w:rPr>
          <w:rFonts w:eastAsia="Times New Roman"/>
          <w:lang w:val="en"/>
        </w:rPr>
        <w:t xml:space="preserve">Step </w:t>
      </w:r>
      <w:r w:rsidR="005A5395" w:rsidRPr="002C1265">
        <w:rPr>
          <w:rFonts w:eastAsia="Times New Roman"/>
          <w:lang w:val="en"/>
        </w:rPr>
        <w:t>2</w:t>
      </w:r>
      <w:r w:rsidRPr="002C1265">
        <w:rPr>
          <w:rFonts w:eastAsia="Times New Roman"/>
          <w:lang w:val="en"/>
        </w:rPr>
        <w:t>C: On-site overnight assistance</w:t>
      </w:r>
    </w:p>
    <w:p w:rsidR="00CD49E2" w:rsidRDefault="00626B36" w:rsidP="00D105DE">
      <w:pPr>
        <w:rPr>
          <w:rFonts w:eastAsia="Times New Roman" w:cs="Arial"/>
          <w:szCs w:val="18"/>
          <w:lang w:val="en"/>
        </w:rPr>
      </w:pPr>
      <w:r>
        <w:rPr>
          <w:rFonts w:eastAsia="Times New Roman" w:cs="Arial"/>
          <w:szCs w:val="18"/>
          <w:lang w:val="en"/>
        </w:rPr>
        <w:t xml:space="preserve">The </w:t>
      </w:r>
      <w:r w:rsidR="00CD49E2" w:rsidRPr="00CD49E2">
        <w:rPr>
          <w:rFonts w:eastAsia="Times New Roman" w:cs="Arial"/>
          <w:szCs w:val="18"/>
          <w:lang w:val="en"/>
        </w:rPr>
        <w:t xml:space="preserve">On-site Overnight Assistance (OOA) </w:t>
      </w:r>
      <w:r w:rsidR="004824F7">
        <w:rPr>
          <w:rFonts w:eastAsia="Times New Roman" w:cs="Arial"/>
          <w:szCs w:val="18"/>
          <w:lang w:val="en"/>
        </w:rPr>
        <w:t xml:space="preserve">amount </w:t>
      </w:r>
      <w:r>
        <w:rPr>
          <w:rFonts w:eastAsia="Times New Roman" w:cs="Arial"/>
          <w:szCs w:val="18"/>
          <w:lang w:val="en"/>
        </w:rPr>
        <w:t xml:space="preserve">is only paid when </w:t>
      </w:r>
      <w:r w:rsidR="00CD49E2" w:rsidRPr="00CD49E2">
        <w:rPr>
          <w:rFonts w:eastAsia="Times New Roman" w:cs="Arial"/>
          <w:szCs w:val="18"/>
          <w:lang w:val="en"/>
        </w:rPr>
        <w:t xml:space="preserve">an additional space </w:t>
      </w:r>
      <w:r>
        <w:rPr>
          <w:rFonts w:eastAsia="Times New Roman" w:cs="Arial"/>
          <w:szCs w:val="18"/>
          <w:lang w:val="en"/>
        </w:rPr>
        <w:t xml:space="preserve">is </w:t>
      </w:r>
      <w:r w:rsidR="00CD49E2" w:rsidRPr="00CD49E2">
        <w:rPr>
          <w:rFonts w:eastAsia="Times New Roman" w:cs="Arial"/>
          <w:szCs w:val="18"/>
          <w:lang w:val="en"/>
        </w:rPr>
        <w:t xml:space="preserve">used by support staff who provide support services overnight to participants living in the same </w:t>
      </w:r>
      <w:r>
        <w:rPr>
          <w:rFonts w:eastAsia="Times New Roman" w:cs="Arial"/>
          <w:szCs w:val="18"/>
          <w:lang w:val="en"/>
        </w:rPr>
        <w:t xml:space="preserve">dwelling as the OOA space or in </w:t>
      </w:r>
      <w:r w:rsidR="00CD49E2" w:rsidRPr="00CD49E2">
        <w:rPr>
          <w:rFonts w:eastAsia="Times New Roman" w:cs="Arial"/>
          <w:szCs w:val="18"/>
          <w:lang w:val="en"/>
        </w:rPr>
        <w:t>a near-by dwelling.</w:t>
      </w:r>
    </w:p>
    <w:p w:rsidR="00566DB3" w:rsidRDefault="002B5E02" w:rsidP="00D105DE">
      <w:pPr>
        <w:rPr>
          <w:rFonts w:eastAsia="Times New Roman" w:cs="Arial"/>
          <w:szCs w:val="18"/>
          <w:lang w:val="en"/>
        </w:rPr>
      </w:pPr>
      <w:r>
        <w:rPr>
          <w:rFonts w:eastAsia="Times New Roman" w:cs="Arial"/>
          <w:szCs w:val="18"/>
          <w:lang w:val="en"/>
        </w:rPr>
        <w:t xml:space="preserve">The form of OOA varies between </w:t>
      </w:r>
      <w:r w:rsidR="00626B36">
        <w:rPr>
          <w:rFonts w:eastAsia="Times New Roman" w:cs="Arial"/>
          <w:szCs w:val="18"/>
          <w:lang w:val="en"/>
        </w:rPr>
        <w:t>B</w:t>
      </w:r>
      <w:r>
        <w:rPr>
          <w:rFonts w:eastAsia="Times New Roman" w:cs="Arial"/>
          <w:szCs w:val="18"/>
          <w:lang w:val="en"/>
        </w:rPr>
        <w:t>uilding</w:t>
      </w:r>
      <w:r w:rsidR="002A5D26">
        <w:rPr>
          <w:rFonts w:eastAsia="Times New Roman" w:cs="Arial"/>
          <w:szCs w:val="18"/>
          <w:lang w:val="en"/>
        </w:rPr>
        <w:t xml:space="preserve"> </w:t>
      </w:r>
      <w:r w:rsidR="00626B36">
        <w:rPr>
          <w:rFonts w:eastAsia="Times New Roman" w:cs="Arial"/>
          <w:szCs w:val="18"/>
          <w:lang w:val="en"/>
        </w:rPr>
        <w:t>T</w:t>
      </w:r>
      <w:r w:rsidR="002A5D26">
        <w:rPr>
          <w:rFonts w:eastAsia="Times New Roman" w:cs="Arial"/>
          <w:szCs w:val="18"/>
          <w:lang w:val="en"/>
        </w:rPr>
        <w:t xml:space="preserve">ype and the </w:t>
      </w:r>
      <w:r w:rsidR="00626B36">
        <w:rPr>
          <w:rFonts w:eastAsia="Times New Roman" w:cs="Arial"/>
          <w:szCs w:val="18"/>
          <w:lang w:val="en"/>
        </w:rPr>
        <w:t xml:space="preserve">amount of the OOA assistance </w:t>
      </w:r>
      <w:r w:rsidR="00FF608A">
        <w:rPr>
          <w:rFonts w:eastAsia="Times New Roman" w:cs="Arial"/>
          <w:szCs w:val="18"/>
          <w:lang w:val="en"/>
        </w:rPr>
        <w:t>payment made in relation to</w:t>
      </w:r>
      <w:r w:rsidR="002A5D26">
        <w:rPr>
          <w:rFonts w:eastAsia="Times New Roman" w:cs="Arial"/>
          <w:szCs w:val="18"/>
          <w:lang w:val="en"/>
        </w:rPr>
        <w:t xml:space="preserve"> this space </w:t>
      </w:r>
      <w:r w:rsidR="00FF608A">
        <w:rPr>
          <w:rFonts w:eastAsia="Times New Roman" w:cs="Arial"/>
          <w:szCs w:val="18"/>
          <w:lang w:val="en"/>
        </w:rPr>
        <w:t>as a consequence may</w:t>
      </w:r>
      <w:r w:rsidR="002A5D26">
        <w:rPr>
          <w:rFonts w:eastAsia="Times New Roman" w:cs="Arial"/>
          <w:szCs w:val="18"/>
          <w:lang w:val="en"/>
        </w:rPr>
        <w:t xml:space="preserve"> depend on </w:t>
      </w:r>
      <w:r w:rsidR="00467010">
        <w:rPr>
          <w:rFonts w:eastAsia="Times New Roman" w:cs="Arial"/>
          <w:szCs w:val="18"/>
          <w:lang w:val="en"/>
        </w:rPr>
        <w:t xml:space="preserve">whether </w:t>
      </w:r>
      <w:r w:rsidR="002A5D26">
        <w:rPr>
          <w:rFonts w:eastAsia="Times New Roman" w:cs="Arial"/>
          <w:szCs w:val="18"/>
          <w:lang w:val="en"/>
        </w:rPr>
        <w:t xml:space="preserve">access to </w:t>
      </w:r>
      <w:r w:rsidR="00E21EEC">
        <w:rPr>
          <w:rFonts w:eastAsia="Times New Roman" w:cs="Arial"/>
          <w:szCs w:val="18"/>
          <w:lang w:val="en"/>
        </w:rPr>
        <w:t xml:space="preserve">the </w:t>
      </w:r>
      <w:r w:rsidR="002A5D26">
        <w:rPr>
          <w:rFonts w:eastAsia="Times New Roman" w:cs="Arial"/>
          <w:szCs w:val="18"/>
          <w:lang w:val="en"/>
        </w:rPr>
        <w:t>OOA is shared between multiple dwellings.</w:t>
      </w:r>
    </w:p>
    <w:p w:rsidR="00626B36" w:rsidRDefault="00626B36" w:rsidP="00377F98">
      <w:pPr>
        <w:rPr>
          <w:rFonts w:eastAsia="Times New Roman" w:cs="Arial"/>
          <w:szCs w:val="18"/>
          <w:lang w:val="en"/>
        </w:rPr>
      </w:pPr>
      <w:r w:rsidRPr="004824F7">
        <w:rPr>
          <w:rFonts w:eastAsia="Times New Roman" w:cs="Arial"/>
          <w:b/>
          <w:szCs w:val="18"/>
          <w:lang w:val="en"/>
        </w:rPr>
        <w:t xml:space="preserve">Table 5 </w:t>
      </w:r>
      <w:r w:rsidR="00816D23">
        <w:rPr>
          <w:rFonts w:eastAsia="Times New Roman" w:cs="Arial"/>
          <w:szCs w:val="18"/>
          <w:lang w:val="en"/>
        </w:rPr>
        <w:t xml:space="preserve">describes the OOA and </w:t>
      </w:r>
      <w:r w:rsidR="004824F7">
        <w:rPr>
          <w:rFonts w:eastAsia="Times New Roman" w:cs="Arial"/>
          <w:szCs w:val="18"/>
          <w:lang w:val="en"/>
        </w:rPr>
        <w:t xml:space="preserve">when OOA </w:t>
      </w:r>
      <w:r w:rsidR="00816D23">
        <w:rPr>
          <w:rFonts w:eastAsia="Times New Roman" w:cs="Arial"/>
          <w:szCs w:val="18"/>
          <w:lang w:val="en"/>
        </w:rPr>
        <w:t>is payable</w:t>
      </w:r>
      <w:r w:rsidR="004824F7">
        <w:rPr>
          <w:rFonts w:eastAsia="Times New Roman" w:cs="Arial"/>
          <w:szCs w:val="18"/>
          <w:lang w:val="en"/>
        </w:rPr>
        <w:t>.</w:t>
      </w:r>
    </w:p>
    <w:p w:rsidR="000E310F" w:rsidRPr="004C01F6" w:rsidRDefault="000E310F" w:rsidP="000E310F">
      <w:pPr>
        <w:pStyle w:val="Caption"/>
        <w:keepNext/>
        <w:keepLines/>
      </w:pPr>
      <w:r w:rsidRPr="004C01F6">
        <w:t xml:space="preserve">Table </w:t>
      </w:r>
      <w:r w:rsidRPr="004C01F6">
        <w:fldChar w:fldCharType="begin"/>
      </w:r>
      <w:r w:rsidRPr="009655D6">
        <w:instrText xml:space="preserve"> SEQ Table \* ARABIC </w:instrText>
      </w:r>
      <w:r w:rsidRPr="004C01F6">
        <w:fldChar w:fldCharType="separate"/>
      </w:r>
      <w:r w:rsidR="00B74B5B">
        <w:rPr>
          <w:noProof/>
        </w:rPr>
        <w:t>5</w:t>
      </w:r>
      <w:r w:rsidRPr="004C01F6">
        <w:fldChar w:fldCharType="end"/>
      </w:r>
      <w:r>
        <w:t>:</w:t>
      </w:r>
      <w:r w:rsidRPr="007B7D09">
        <w:t xml:space="preserve"> </w:t>
      </w:r>
      <w:r w:rsidR="004A02A2">
        <w:t>Description of OOA by Buil</w:t>
      </w:r>
      <w:r w:rsidR="009B4F2D">
        <w:t>d</w:t>
      </w:r>
      <w:r w:rsidR="004A02A2">
        <w:t>ing Type</w:t>
      </w:r>
      <w:r w:rsidR="005E760E">
        <w:t xml:space="preserve"> &amp; </w:t>
      </w:r>
      <w:r w:rsidR="00816D23">
        <w:t>WHEN ooA IS PAYABLE</w:t>
      </w:r>
    </w:p>
    <w:tbl>
      <w:tblPr>
        <w:tblStyle w:val="TableGrid"/>
        <w:tblW w:w="949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Caption w:val="Primary building types"/>
        <w:tblDescription w:val="Describes by building type and typical building code of Australia classification"/>
      </w:tblPr>
      <w:tblGrid>
        <w:gridCol w:w="1843"/>
        <w:gridCol w:w="3964"/>
        <w:gridCol w:w="3691"/>
      </w:tblGrid>
      <w:tr w:rsidR="000E310F" w:rsidRPr="005C4E27" w:rsidTr="001F153A">
        <w:trPr>
          <w:trHeight w:val="77"/>
          <w:tblHeader/>
        </w:trPr>
        <w:tc>
          <w:tcPr>
            <w:tcW w:w="1843" w:type="dxa"/>
            <w:shd w:val="clear" w:color="auto" w:fill="7030A0"/>
            <w:vAlign w:val="center"/>
          </w:tcPr>
          <w:p w:rsidR="000E310F" w:rsidRPr="004C01F6" w:rsidRDefault="000E310F" w:rsidP="00AA39A9">
            <w:pPr>
              <w:pStyle w:val="Heading5"/>
              <w:keepNext/>
              <w:keepLines/>
              <w:spacing w:before="120" w:after="200"/>
              <w:outlineLvl w:val="4"/>
              <w:rPr>
                <w:b w:val="0"/>
                <w:color w:val="FFFFFF" w:themeColor="background1"/>
                <w:sz w:val="20"/>
                <w:szCs w:val="20"/>
              </w:rPr>
            </w:pPr>
            <w:r w:rsidRPr="004C01F6">
              <w:rPr>
                <w:color w:val="FFFFFF" w:themeColor="background1"/>
                <w:sz w:val="20"/>
                <w:szCs w:val="20"/>
              </w:rPr>
              <w:t>Building type</w:t>
            </w:r>
          </w:p>
        </w:tc>
        <w:tc>
          <w:tcPr>
            <w:tcW w:w="3964" w:type="dxa"/>
            <w:shd w:val="clear" w:color="auto" w:fill="7030A0"/>
            <w:vAlign w:val="center"/>
          </w:tcPr>
          <w:p w:rsidR="000E310F" w:rsidRPr="00A7675B" w:rsidRDefault="000E310F" w:rsidP="001D114B">
            <w:pPr>
              <w:pStyle w:val="Heading5"/>
              <w:keepNext/>
              <w:keepLines/>
              <w:spacing w:before="120" w:after="200"/>
              <w:outlineLvl w:val="4"/>
              <w:rPr>
                <w:color w:val="FFFFFF" w:themeColor="background1"/>
                <w:sz w:val="20"/>
                <w:szCs w:val="20"/>
              </w:rPr>
            </w:pPr>
            <w:r w:rsidRPr="00A7675B">
              <w:rPr>
                <w:color w:val="FFFFFF" w:themeColor="background1"/>
                <w:sz w:val="20"/>
                <w:szCs w:val="20"/>
              </w:rPr>
              <w:t>Description</w:t>
            </w:r>
            <w:r w:rsidR="00480360" w:rsidRPr="00A7675B">
              <w:rPr>
                <w:color w:val="FFFFFF" w:themeColor="background1"/>
                <w:sz w:val="20"/>
                <w:szCs w:val="20"/>
              </w:rPr>
              <w:t xml:space="preserve"> of OOA</w:t>
            </w:r>
          </w:p>
        </w:tc>
        <w:tc>
          <w:tcPr>
            <w:tcW w:w="3691" w:type="dxa"/>
            <w:shd w:val="clear" w:color="auto" w:fill="7030A0"/>
            <w:vAlign w:val="center"/>
          </w:tcPr>
          <w:p w:rsidR="000E310F" w:rsidRPr="00A7675B" w:rsidRDefault="00816D23" w:rsidP="00816D23">
            <w:pPr>
              <w:pStyle w:val="Heading5"/>
              <w:keepNext/>
              <w:keepLines/>
              <w:spacing w:before="120" w:after="200"/>
              <w:outlineLvl w:val="4"/>
              <w:rPr>
                <w:color w:val="FFFFFF" w:themeColor="background1"/>
                <w:sz w:val="20"/>
                <w:szCs w:val="20"/>
              </w:rPr>
            </w:pPr>
            <w:r>
              <w:rPr>
                <w:color w:val="FFFFFF" w:themeColor="background1"/>
                <w:sz w:val="20"/>
                <w:szCs w:val="20"/>
              </w:rPr>
              <w:t>When OOA is payable</w:t>
            </w:r>
            <w:r w:rsidR="00231044">
              <w:rPr>
                <w:color w:val="FFFFFF" w:themeColor="background1"/>
                <w:sz w:val="20"/>
                <w:szCs w:val="20"/>
              </w:rPr>
              <w:t xml:space="preserve"> </w:t>
            </w:r>
          </w:p>
        </w:tc>
      </w:tr>
      <w:tr w:rsidR="000E310F" w:rsidRPr="005C4E27" w:rsidTr="001F153A">
        <w:trPr>
          <w:trHeight w:val="731"/>
        </w:trPr>
        <w:tc>
          <w:tcPr>
            <w:tcW w:w="1843" w:type="dxa"/>
          </w:tcPr>
          <w:p w:rsidR="000E310F" w:rsidRPr="007B7D09" w:rsidRDefault="000E310F" w:rsidP="00AA39A9">
            <w:pPr>
              <w:keepNext/>
              <w:keepLines/>
              <w:spacing w:after="200"/>
              <w:rPr>
                <w:sz w:val="20"/>
                <w:szCs w:val="20"/>
              </w:rPr>
            </w:pPr>
            <w:r w:rsidRPr="007B7D09">
              <w:rPr>
                <w:sz w:val="20"/>
                <w:szCs w:val="20"/>
              </w:rPr>
              <w:t>Apartment</w:t>
            </w:r>
          </w:p>
        </w:tc>
        <w:tc>
          <w:tcPr>
            <w:tcW w:w="3964" w:type="dxa"/>
          </w:tcPr>
          <w:p w:rsidR="003557E2" w:rsidRDefault="004824F7" w:rsidP="00AA39A9">
            <w:pPr>
              <w:keepNext/>
              <w:keepLines/>
              <w:spacing w:after="200"/>
              <w:rPr>
                <w:sz w:val="20"/>
                <w:szCs w:val="20"/>
              </w:rPr>
            </w:pPr>
            <w:r>
              <w:rPr>
                <w:sz w:val="20"/>
                <w:szCs w:val="20"/>
              </w:rPr>
              <w:t xml:space="preserve">The OOA </w:t>
            </w:r>
            <w:r w:rsidR="00867637">
              <w:rPr>
                <w:sz w:val="20"/>
                <w:szCs w:val="20"/>
              </w:rPr>
              <w:t xml:space="preserve">space must be </w:t>
            </w:r>
            <w:r>
              <w:rPr>
                <w:sz w:val="20"/>
                <w:szCs w:val="20"/>
              </w:rPr>
              <w:t>a</w:t>
            </w:r>
            <w:r w:rsidR="003557E2" w:rsidRPr="00E21EEC">
              <w:rPr>
                <w:sz w:val="20"/>
                <w:szCs w:val="20"/>
              </w:rPr>
              <w:t xml:space="preserve"> separate apartment in the same apartment complex</w:t>
            </w:r>
            <w:r w:rsidR="00867637">
              <w:rPr>
                <w:sz w:val="20"/>
                <w:szCs w:val="20"/>
              </w:rPr>
              <w:t xml:space="preserve"> as the SDA apartment</w:t>
            </w:r>
            <w:r w:rsidR="003557E2" w:rsidRPr="00E21EEC">
              <w:rPr>
                <w:sz w:val="20"/>
                <w:szCs w:val="20"/>
              </w:rPr>
              <w:t xml:space="preserve"> </w:t>
            </w:r>
          </w:p>
          <w:p w:rsidR="00AD4E78" w:rsidRPr="00E21EEC" w:rsidRDefault="004824F7" w:rsidP="00867637">
            <w:pPr>
              <w:keepNext/>
              <w:keepLines/>
              <w:spacing w:after="200"/>
              <w:rPr>
                <w:sz w:val="20"/>
                <w:szCs w:val="20"/>
              </w:rPr>
            </w:pPr>
            <w:r>
              <w:rPr>
                <w:sz w:val="20"/>
                <w:szCs w:val="20"/>
              </w:rPr>
              <w:t xml:space="preserve">The OOA amount is not paid </w:t>
            </w:r>
            <w:r w:rsidR="00867637">
              <w:rPr>
                <w:sz w:val="20"/>
                <w:szCs w:val="20"/>
              </w:rPr>
              <w:t>when the OOA space is an</w:t>
            </w:r>
            <w:r w:rsidR="00AD4E78" w:rsidRPr="00AD4E78">
              <w:rPr>
                <w:sz w:val="20"/>
                <w:szCs w:val="20"/>
              </w:rPr>
              <w:t xml:space="preserve"> additional room </w:t>
            </w:r>
            <w:r w:rsidR="0044603F">
              <w:rPr>
                <w:sz w:val="20"/>
                <w:szCs w:val="20"/>
              </w:rPr>
              <w:t>in an</w:t>
            </w:r>
            <w:r w:rsidR="00AD4E78" w:rsidRPr="00AD4E78">
              <w:rPr>
                <w:sz w:val="20"/>
                <w:szCs w:val="20"/>
              </w:rPr>
              <w:t xml:space="preserve"> </w:t>
            </w:r>
            <w:r w:rsidR="00C40756">
              <w:rPr>
                <w:sz w:val="20"/>
                <w:szCs w:val="20"/>
              </w:rPr>
              <w:t>SDA</w:t>
            </w:r>
            <w:r w:rsidR="0044603F">
              <w:rPr>
                <w:sz w:val="20"/>
                <w:szCs w:val="20"/>
              </w:rPr>
              <w:t xml:space="preserve"> apartment</w:t>
            </w:r>
            <w:r w:rsidR="00893AF5">
              <w:rPr>
                <w:sz w:val="20"/>
                <w:szCs w:val="20"/>
              </w:rPr>
              <w:t xml:space="preserve"> </w:t>
            </w:r>
          </w:p>
        </w:tc>
        <w:tc>
          <w:tcPr>
            <w:tcW w:w="3691" w:type="dxa"/>
          </w:tcPr>
          <w:p w:rsidR="00867637" w:rsidRPr="00EC298B" w:rsidRDefault="00867637" w:rsidP="00EC298B">
            <w:pPr>
              <w:pStyle w:val="ListParagraph"/>
              <w:keepNext/>
              <w:keepLines/>
              <w:numPr>
                <w:ilvl w:val="0"/>
                <w:numId w:val="52"/>
              </w:numPr>
              <w:spacing w:before="60" w:after="60"/>
              <w:ind w:left="176" w:hanging="176"/>
              <w:contextualSpacing w:val="0"/>
              <w:rPr>
                <w:sz w:val="20"/>
                <w:szCs w:val="20"/>
              </w:rPr>
            </w:pPr>
            <w:r w:rsidRPr="00EC298B">
              <w:rPr>
                <w:sz w:val="20"/>
                <w:szCs w:val="20"/>
              </w:rPr>
              <w:t>A maximum of 10 SDA apartments.  The OOA amount for one separate OOA apartment is payable for a maximum of 10 SDA apartments</w:t>
            </w:r>
          </w:p>
          <w:p w:rsidR="000E310F" w:rsidRPr="00EC298B" w:rsidRDefault="00867637" w:rsidP="00EC298B">
            <w:pPr>
              <w:pStyle w:val="ListParagraph"/>
              <w:keepNext/>
              <w:keepLines/>
              <w:numPr>
                <w:ilvl w:val="0"/>
                <w:numId w:val="52"/>
              </w:numPr>
              <w:spacing w:after="200"/>
              <w:ind w:left="176" w:hanging="176"/>
              <w:rPr>
                <w:sz w:val="20"/>
                <w:szCs w:val="20"/>
              </w:rPr>
            </w:pPr>
            <w:r w:rsidRPr="00EC298B">
              <w:rPr>
                <w:sz w:val="20"/>
                <w:szCs w:val="20"/>
              </w:rPr>
              <w:t xml:space="preserve">No </w:t>
            </w:r>
            <w:r w:rsidR="008900FF" w:rsidRPr="00EC298B">
              <w:rPr>
                <w:sz w:val="20"/>
                <w:szCs w:val="20"/>
              </w:rPr>
              <w:t xml:space="preserve">OOA </w:t>
            </w:r>
            <w:r w:rsidRPr="00EC298B">
              <w:rPr>
                <w:sz w:val="20"/>
                <w:szCs w:val="20"/>
              </w:rPr>
              <w:t xml:space="preserve">amount is payable once the OOA amount has been added for </w:t>
            </w:r>
            <w:r w:rsidR="00E21EEC" w:rsidRPr="00EC298B">
              <w:rPr>
                <w:sz w:val="20"/>
                <w:szCs w:val="20"/>
              </w:rPr>
              <w:t xml:space="preserve">10 </w:t>
            </w:r>
            <w:r w:rsidRPr="00EC298B">
              <w:rPr>
                <w:sz w:val="20"/>
                <w:szCs w:val="20"/>
              </w:rPr>
              <w:t>SDA apartments</w:t>
            </w:r>
          </w:p>
        </w:tc>
      </w:tr>
      <w:tr w:rsidR="00C75588" w:rsidRPr="005C4E27" w:rsidTr="001F153A">
        <w:trPr>
          <w:trHeight w:val="96"/>
        </w:trPr>
        <w:tc>
          <w:tcPr>
            <w:tcW w:w="1843" w:type="dxa"/>
          </w:tcPr>
          <w:p w:rsidR="00C75588" w:rsidRPr="007B7D09" w:rsidRDefault="00A056B4" w:rsidP="00C75588">
            <w:pPr>
              <w:keepNext/>
              <w:keepLines/>
              <w:spacing w:after="200"/>
              <w:rPr>
                <w:sz w:val="20"/>
                <w:szCs w:val="20"/>
              </w:rPr>
            </w:pPr>
            <w:r>
              <w:rPr>
                <w:sz w:val="20"/>
                <w:szCs w:val="20"/>
              </w:rPr>
              <w:t xml:space="preserve">Other </w:t>
            </w:r>
            <w:r w:rsidR="00AD74CA">
              <w:rPr>
                <w:sz w:val="20"/>
                <w:szCs w:val="20"/>
              </w:rPr>
              <w:t>b</w:t>
            </w:r>
            <w:r>
              <w:rPr>
                <w:sz w:val="20"/>
                <w:szCs w:val="20"/>
              </w:rPr>
              <w:t xml:space="preserve">uilding </w:t>
            </w:r>
            <w:r w:rsidR="00AD74CA">
              <w:rPr>
                <w:sz w:val="20"/>
                <w:szCs w:val="20"/>
              </w:rPr>
              <w:t>t</w:t>
            </w:r>
            <w:r>
              <w:rPr>
                <w:sz w:val="20"/>
                <w:szCs w:val="20"/>
              </w:rPr>
              <w:t>ypes</w:t>
            </w:r>
          </w:p>
        </w:tc>
        <w:tc>
          <w:tcPr>
            <w:tcW w:w="3964" w:type="dxa"/>
          </w:tcPr>
          <w:p w:rsidR="00C75588" w:rsidRPr="003F0BA8" w:rsidRDefault="00C75588" w:rsidP="00867637">
            <w:pPr>
              <w:keepNext/>
              <w:keepLines/>
              <w:spacing w:after="200"/>
              <w:rPr>
                <w:sz w:val="20"/>
                <w:szCs w:val="20"/>
              </w:rPr>
            </w:pPr>
            <w:r w:rsidRPr="003F0BA8">
              <w:rPr>
                <w:sz w:val="20"/>
                <w:szCs w:val="20"/>
              </w:rPr>
              <w:t xml:space="preserve">An additional room </w:t>
            </w:r>
            <w:r w:rsidR="00644CEC">
              <w:rPr>
                <w:sz w:val="20"/>
                <w:szCs w:val="20"/>
              </w:rPr>
              <w:t>inside or adjoining the</w:t>
            </w:r>
            <w:r w:rsidRPr="003F0BA8">
              <w:rPr>
                <w:sz w:val="20"/>
                <w:szCs w:val="20"/>
              </w:rPr>
              <w:t xml:space="preserve"> dwelling</w:t>
            </w:r>
            <w:r w:rsidR="00644CEC">
              <w:rPr>
                <w:sz w:val="20"/>
                <w:szCs w:val="20"/>
              </w:rPr>
              <w:t>(s)</w:t>
            </w:r>
          </w:p>
        </w:tc>
        <w:tc>
          <w:tcPr>
            <w:tcW w:w="3691" w:type="dxa"/>
          </w:tcPr>
          <w:p w:rsidR="00C75588" w:rsidRPr="00C75588" w:rsidRDefault="003649E8" w:rsidP="00867637">
            <w:pPr>
              <w:keepNext/>
              <w:keepLines/>
              <w:spacing w:after="200"/>
              <w:rPr>
                <w:sz w:val="20"/>
                <w:szCs w:val="20"/>
              </w:rPr>
            </w:pPr>
            <w:r>
              <w:rPr>
                <w:sz w:val="20"/>
                <w:szCs w:val="20"/>
              </w:rPr>
              <w:t>While t</w:t>
            </w:r>
            <w:r w:rsidR="00EE4728">
              <w:rPr>
                <w:sz w:val="20"/>
                <w:szCs w:val="20"/>
              </w:rPr>
              <w:t xml:space="preserve">he OOA may be shared between multiple </w:t>
            </w:r>
            <w:r w:rsidR="00B64066">
              <w:rPr>
                <w:sz w:val="20"/>
                <w:szCs w:val="20"/>
              </w:rPr>
              <w:t>dwellings</w:t>
            </w:r>
            <w:r w:rsidR="00EE4728">
              <w:rPr>
                <w:sz w:val="20"/>
                <w:szCs w:val="20"/>
              </w:rPr>
              <w:t>, it can only</w:t>
            </w:r>
            <w:r w:rsidR="00D62EC1">
              <w:rPr>
                <w:sz w:val="20"/>
                <w:szCs w:val="20"/>
              </w:rPr>
              <w:t xml:space="preserve"> be claimed against o</w:t>
            </w:r>
            <w:r w:rsidR="00C75588" w:rsidRPr="00C75588">
              <w:rPr>
                <w:sz w:val="20"/>
                <w:szCs w:val="20"/>
              </w:rPr>
              <w:t>ne dwelling</w:t>
            </w:r>
          </w:p>
        </w:tc>
      </w:tr>
    </w:tbl>
    <w:p w:rsidR="00816D23" w:rsidRPr="00816D23" w:rsidRDefault="00816D23" w:rsidP="005002AB">
      <w:pPr>
        <w:rPr>
          <w:rFonts w:eastAsia="Times New Roman" w:cs="Arial"/>
          <w:b/>
          <w:szCs w:val="18"/>
          <w:lang w:val="en"/>
        </w:rPr>
      </w:pPr>
      <w:r w:rsidRPr="00816D23">
        <w:rPr>
          <w:rFonts w:eastAsia="Times New Roman" w:cs="Arial"/>
          <w:b/>
          <w:szCs w:val="18"/>
          <w:lang w:val="en"/>
        </w:rPr>
        <w:t>OOA amounts</w:t>
      </w:r>
    </w:p>
    <w:p w:rsidR="00816D23" w:rsidRDefault="00816D23" w:rsidP="005002AB">
      <w:pPr>
        <w:rPr>
          <w:rFonts w:eastAsia="Times New Roman" w:cs="Arial"/>
          <w:szCs w:val="18"/>
          <w:lang w:val="en"/>
        </w:rPr>
      </w:pPr>
      <w:r>
        <w:rPr>
          <w:rFonts w:eastAsia="Times New Roman" w:cs="Arial"/>
          <w:szCs w:val="18"/>
          <w:lang w:val="en"/>
        </w:rPr>
        <w:t xml:space="preserve">The amount of OOA is set out in </w:t>
      </w:r>
      <w:r w:rsidRPr="00816D23">
        <w:rPr>
          <w:rFonts w:eastAsia="Times New Roman" w:cs="Arial"/>
          <w:b/>
          <w:szCs w:val="18"/>
          <w:lang w:val="en"/>
        </w:rPr>
        <w:t>Table 6</w:t>
      </w:r>
      <w:r>
        <w:rPr>
          <w:rFonts w:eastAsia="Times New Roman" w:cs="Arial"/>
          <w:szCs w:val="18"/>
          <w:lang w:val="en"/>
        </w:rPr>
        <w:t xml:space="preserve"> for New Builds and </w:t>
      </w:r>
      <w:r w:rsidRPr="00816D23">
        <w:rPr>
          <w:rFonts w:eastAsia="Times New Roman" w:cs="Arial"/>
          <w:b/>
          <w:szCs w:val="18"/>
          <w:lang w:val="en"/>
        </w:rPr>
        <w:t xml:space="preserve">Table 7 </w:t>
      </w:r>
      <w:r>
        <w:rPr>
          <w:rFonts w:eastAsia="Times New Roman" w:cs="Arial"/>
          <w:szCs w:val="18"/>
          <w:lang w:val="en"/>
        </w:rPr>
        <w:t>for Existing Stock.</w:t>
      </w:r>
    </w:p>
    <w:p w:rsidR="00566DB3" w:rsidRPr="002C1265" w:rsidRDefault="00566DB3" w:rsidP="00EC298B">
      <w:pPr>
        <w:pStyle w:val="Heading3"/>
        <w:rPr>
          <w:rFonts w:eastAsia="Times New Roman"/>
          <w:lang w:val="en"/>
        </w:rPr>
      </w:pPr>
      <w:r w:rsidRPr="002C1265">
        <w:rPr>
          <w:rFonts w:eastAsia="Times New Roman"/>
          <w:lang w:val="en"/>
        </w:rPr>
        <w:t xml:space="preserve">Step </w:t>
      </w:r>
      <w:r w:rsidR="005A5395" w:rsidRPr="002C1265">
        <w:rPr>
          <w:rFonts w:eastAsia="Times New Roman"/>
          <w:lang w:val="en"/>
        </w:rPr>
        <w:t>2</w:t>
      </w:r>
      <w:r w:rsidRPr="002C1265">
        <w:rPr>
          <w:rFonts w:eastAsia="Times New Roman"/>
          <w:lang w:val="en"/>
        </w:rPr>
        <w:t xml:space="preserve">D: </w:t>
      </w:r>
      <w:r w:rsidR="00467010" w:rsidRPr="002C1265">
        <w:rPr>
          <w:rFonts w:eastAsia="Times New Roman"/>
          <w:lang w:val="en"/>
        </w:rPr>
        <w:t>B</w:t>
      </w:r>
      <w:r w:rsidR="00F97F74" w:rsidRPr="002C1265">
        <w:rPr>
          <w:rFonts w:eastAsia="Times New Roman"/>
          <w:lang w:val="en"/>
        </w:rPr>
        <w:t>reakout room (Robust design only)</w:t>
      </w:r>
    </w:p>
    <w:p w:rsidR="00B91062" w:rsidRDefault="00B91062" w:rsidP="00B830DD">
      <w:pPr>
        <w:rPr>
          <w:rFonts w:eastAsia="Times New Roman" w:cs="Arial"/>
          <w:szCs w:val="18"/>
        </w:rPr>
      </w:pPr>
      <w:r>
        <w:rPr>
          <w:rFonts w:eastAsia="Times New Roman" w:cs="Arial"/>
          <w:szCs w:val="18"/>
        </w:rPr>
        <w:t xml:space="preserve">A breakout room is a separate room designed to </w:t>
      </w:r>
      <w:r w:rsidR="002B3182">
        <w:rPr>
          <w:rFonts w:eastAsia="Times New Roman" w:cs="Arial"/>
          <w:szCs w:val="18"/>
        </w:rPr>
        <w:t xml:space="preserve">respond to the individual disability related needs of the participant. </w:t>
      </w:r>
      <w:r>
        <w:rPr>
          <w:rFonts w:eastAsia="Times New Roman" w:cs="Arial"/>
          <w:szCs w:val="18"/>
        </w:rPr>
        <w:t xml:space="preserve">It is not a </w:t>
      </w:r>
      <w:r w:rsidR="00533BCD">
        <w:rPr>
          <w:rFonts w:eastAsia="Times New Roman" w:cs="Arial"/>
          <w:szCs w:val="18"/>
        </w:rPr>
        <w:t xml:space="preserve">study or living/ dining area but is intended to be dedicated and used to enhance learning, exploration or positively impact mood. These rooms </w:t>
      </w:r>
      <w:r w:rsidR="001E2571">
        <w:rPr>
          <w:rFonts w:eastAsia="Times New Roman" w:cs="Arial"/>
          <w:szCs w:val="18"/>
        </w:rPr>
        <w:t xml:space="preserve">would, </w:t>
      </w:r>
      <w:r w:rsidR="00533BCD">
        <w:rPr>
          <w:rFonts w:eastAsia="Times New Roman" w:cs="Arial"/>
          <w:szCs w:val="18"/>
        </w:rPr>
        <w:t>therefore</w:t>
      </w:r>
      <w:r w:rsidR="001E2571">
        <w:rPr>
          <w:rFonts w:eastAsia="Times New Roman" w:cs="Arial"/>
          <w:szCs w:val="18"/>
        </w:rPr>
        <w:t>,</w:t>
      </w:r>
      <w:r w:rsidR="00533BCD">
        <w:rPr>
          <w:rFonts w:eastAsia="Times New Roman" w:cs="Arial"/>
          <w:szCs w:val="18"/>
        </w:rPr>
        <w:t xml:space="preserve"> be expected to make use of activities, equipment, sound and lighting in ways that are appropriate to the current residents. </w:t>
      </w:r>
    </w:p>
    <w:p w:rsidR="009B60DB" w:rsidRDefault="00B830DD" w:rsidP="00ED0573">
      <w:pPr>
        <w:rPr>
          <w:rFonts w:eastAsia="Times New Roman" w:cs="Arial"/>
          <w:szCs w:val="18"/>
          <w:lang w:val="en"/>
        </w:rPr>
      </w:pPr>
      <w:r w:rsidRPr="00B830DD">
        <w:rPr>
          <w:rFonts w:eastAsia="Times New Roman" w:cs="Arial"/>
          <w:szCs w:val="18"/>
          <w:lang w:val="en"/>
        </w:rPr>
        <w:t>Some dwellings may have both an OOA and a breakout room.</w:t>
      </w:r>
    </w:p>
    <w:p w:rsidR="00A02A29" w:rsidRDefault="00A02A29" w:rsidP="00A02A29">
      <w:pPr>
        <w:rPr>
          <w:rFonts w:eastAsia="Times New Roman" w:cs="Arial"/>
          <w:szCs w:val="18"/>
          <w:lang w:val="en"/>
        </w:rPr>
      </w:pPr>
      <w:r>
        <w:rPr>
          <w:rFonts w:eastAsia="Times New Roman" w:cs="Arial"/>
          <w:szCs w:val="18"/>
          <w:lang w:val="en"/>
        </w:rPr>
        <w:t xml:space="preserve">The </w:t>
      </w:r>
      <w:r w:rsidR="00CE1000">
        <w:rPr>
          <w:rFonts w:eastAsia="Times New Roman" w:cs="Arial"/>
          <w:szCs w:val="18"/>
          <w:lang w:val="en"/>
        </w:rPr>
        <w:t>additional price associated with</w:t>
      </w:r>
      <w:r>
        <w:rPr>
          <w:rFonts w:eastAsia="Times New Roman" w:cs="Arial"/>
          <w:szCs w:val="18"/>
          <w:lang w:val="en"/>
        </w:rPr>
        <w:t xml:space="preserve"> a breakout room is set out in </w:t>
      </w:r>
      <w:r w:rsidRPr="00816D23">
        <w:rPr>
          <w:rFonts w:eastAsia="Times New Roman" w:cs="Arial"/>
          <w:b/>
          <w:szCs w:val="18"/>
          <w:lang w:val="en"/>
        </w:rPr>
        <w:t>Table 6</w:t>
      </w:r>
      <w:r>
        <w:rPr>
          <w:rFonts w:eastAsia="Times New Roman" w:cs="Arial"/>
          <w:szCs w:val="18"/>
          <w:lang w:val="en"/>
        </w:rPr>
        <w:t xml:space="preserve"> for New Builds and </w:t>
      </w:r>
      <w:r w:rsidRPr="00816D23">
        <w:rPr>
          <w:rFonts w:eastAsia="Times New Roman" w:cs="Arial"/>
          <w:b/>
          <w:szCs w:val="18"/>
          <w:lang w:val="en"/>
        </w:rPr>
        <w:t xml:space="preserve">Table 7 </w:t>
      </w:r>
      <w:r>
        <w:rPr>
          <w:rFonts w:eastAsia="Times New Roman" w:cs="Arial"/>
          <w:szCs w:val="18"/>
          <w:lang w:val="en"/>
        </w:rPr>
        <w:t>for Existing Stock.</w:t>
      </w:r>
    </w:p>
    <w:p w:rsidR="00A02A29" w:rsidRPr="00ED0573" w:rsidRDefault="00A02A29" w:rsidP="00ED0573">
      <w:pPr>
        <w:rPr>
          <w:rFonts w:eastAsia="Times New Roman" w:cs="Arial"/>
          <w:szCs w:val="18"/>
          <w:lang w:val="en"/>
        </w:rPr>
      </w:pPr>
    </w:p>
    <w:p w:rsidR="00EE3572" w:rsidRDefault="00EE3572">
      <w:pPr>
        <w:spacing w:before="0" w:after="200"/>
        <w:rPr>
          <w:rFonts w:eastAsia="Times New Roman" w:cstheme="majorBidi"/>
          <w:b/>
          <w:bCs/>
          <w:sz w:val="36"/>
          <w:szCs w:val="26"/>
          <w:lang w:val="en"/>
        </w:rPr>
      </w:pPr>
      <w:r>
        <w:rPr>
          <w:rFonts w:eastAsia="Times New Roman"/>
          <w:lang w:val="en"/>
        </w:rPr>
        <w:br w:type="page"/>
      </w:r>
    </w:p>
    <w:p w:rsidR="00790DB8" w:rsidRDefault="00790DB8" w:rsidP="000F5127">
      <w:pPr>
        <w:pStyle w:val="Heading2"/>
        <w:rPr>
          <w:rFonts w:eastAsia="Times New Roman"/>
          <w:lang w:val="en"/>
        </w:rPr>
      </w:pPr>
      <w:bookmarkStart w:id="37" w:name="_Toc477352081"/>
      <w:r>
        <w:rPr>
          <w:rFonts w:eastAsia="Times New Roman"/>
          <w:lang w:val="en"/>
        </w:rPr>
        <w:t xml:space="preserve">Step </w:t>
      </w:r>
      <w:r w:rsidR="005A5395">
        <w:rPr>
          <w:rFonts w:eastAsia="Times New Roman"/>
          <w:lang w:val="en"/>
        </w:rPr>
        <w:t>3</w:t>
      </w:r>
      <w:r>
        <w:rPr>
          <w:rFonts w:eastAsia="Times New Roman"/>
          <w:lang w:val="en"/>
        </w:rPr>
        <w:t>: Location</w:t>
      </w:r>
      <w:r w:rsidR="00467010">
        <w:rPr>
          <w:rFonts w:eastAsia="Times New Roman"/>
          <w:lang w:val="en"/>
        </w:rPr>
        <w:t xml:space="preserve"> Factor</w:t>
      </w:r>
      <w:bookmarkEnd w:id="37"/>
    </w:p>
    <w:p w:rsidR="00B051DF" w:rsidRDefault="00CE1000" w:rsidP="00B64059">
      <w:r>
        <w:t xml:space="preserve">The </w:t>
      </w:r>
      <w:r w:rsidR="00B64059" w:rsidRPr="009655D6">
        <w:t>Location Factor</w:t>
      </w:r>
      <w:r w:rsidR="00467010">
        <w:t>s</w:t>
      </w:r>
      <w:r w:rsidR="00B64059" w:rsidRPr="009655D6">
        <w:t xml:space="preserve"> </w:t>
      </w:r>
      <w:r>
        <w:t xml:space="preserve">applied in SDA pricing </w:t>
      </w:r>
      <w:r w:rsidR="00B64059" w:rsidRPr="009655D6">
        <w:t xml:space="preserve">are based on </w:t>
      </w:r>
      <w:r w:rsidR="0039326C">
        <w:t>Australian Bureau of Statistics</w:t>
      </w:r>
      <w:r w:rsidR="00B64059" w:rsidRPr="009655D6">
        <w:t xml:space="preserve"> Statistical Area</w:t>
      </w:r>
      <w:r w:rsidR="0039326C">
        <w:t> </w:t>
      </w:r>
      <w:r w:rsidR="00B64059" w:rsidRPr="009655D6">
        <w:t>4 regions</w:t>
      </w:r>
      <w:r w:rsidR="00B64059" w:rsidRPr="005C4E27">
        <w:t>.</w:t>
      </w:r>
      <w:r w:rsidR="005A5331">
        <w:t xml:space="preserve"> </w:t>
      </w:r>
      <w:r w:rsidR="007E5CB2">
        <w:t xml:space="preserve"> </w:t>
      </w:r>
      <w:r w:rsidR="005A5331" w:rsidRPr="000B6F7C">
        <w:t xml:space="preserve">For more detail on </w:t>
      </w:r>
      <w:r w:rsidR="007E5CB2">
        <w:t xml:space="preserve">the </w:t>
      </w:r>
      <w:r w:rsidR="007E5CB2" w:rsidRPr="009655D6">
        <w:t>Statistical Area</w:t>
      </w:r>
      <w:r w:rsidR="007E5CB2">
        <w:t> </w:t>
      </w:r>
      <w:r w:rsidR="007E5CB2" w:rsidRPr="009655D6">
        <w:t>4 regions</w:t>
      </w:r>
      <w:r w:rsidR="007E5CB2" w:rsidRPr="000B6F7C">
        <w:t xml:space="preserve"> </w:t>
      </w:r>
      <w:r w:rsidR="005A5331">
        <w:t xml:space="preserve">refer to the </w:t>
      </w:r>
      <w:r w:rsidR="00895E9E">
        <w:t xml:space="preserve">ABS website: </w:t>
      </w:r>
      <w:hyperlink r:id="rId20" w:history="1">
        <w:r w:rsidR="006F1520">
          <w:rPr>
            <w:rStyle w:val="Hyperlink"/>
          </w:rPr>
          <w:t>Link to Australian Bureau of Statistics website</w:t>
        </w:r>
      </w:hyperlink>
    </w:p>
    <w:p w:rsidR="00B64059" w:rsidRDefault="001D7784" w:rsidP="001D7784">
      <w:r>
        <w:t>T</w:t>
      </w:r>
      <w:r w:rsidRPr="009655D6">
        <w:t xml:space="preserve">o derive an SDA </w:t>
      </w:r>
      <w:r>
        <w:t>p</w:t>
      </w:r>
      <w:r w:rsidRPr="009655D6">
        <w:t xml:space="preserve">rice for a particular </w:t>
      </w:r>
      <w:r>
        <w:t>dwelling</w:t>
      </w:r>
      <w:r w:rsidRPr="009655D6">
        <w:t xml:space="preserve">, the Base Price (before </w:t>
      </w:r>
      <w:r w:rsidR="00E9340D">
        <w:t>the fire sprinkler allowance</w:t>
      </w:r>
      <w:r w:rsidRPr="009655D6">
        <w:t xml:space="preserve">) </w:t>
      </w:r>
      <w:r w:rsidR="007E5CB2">
        <w:t xml:space="preserve">is </w:t>
      </w:r>
      <w:r w:rsidRPr="009655D6">
        <w:t>multiplied by the Location Factor</w:t>
      </w:r>
      <w:r>
        <w:t xml:space="preserve"> </w:t>
      </w:r>
      <w:r w:rsidRPr="009655D6">
        <w:t xml:space="preserve">relevant to the property’s location and </w:t>
      </w:r>
      <w:r w:rsidR="007E5CB2">
        <w:t>B</w:t>
      </w:r>
      <w:r w:rsidRPr="009655D6">
        <w:t xml:space="preserve">uilding </w:t>
      </w:r>
      <w:r w:rsidR="007E5CB2">
        <w:t>T</w:t>
      </w:r>
      <w:r w:rsidRPr="009655D6">
        <w:t>ype</w:t>
      </w:r>
      <w:r w:rsidR="00D2257F">
        <w:t>.</w:t>
      </w:r>
      <w:r w:rsidRPr="009655D6">
        <w:t xml:space="preserve"> </w:t>
      </w:r>
    </w:p>
    <w:p w:rsidR="007E5CB2" w:rsidRDefault="007E5CB2" w:rsidP="001D7784">
      <w:r w:rsidRPr="007E5CB2">
        <w:rPr>
          <w:b/>
        </w:rPr>
        <w:t>Table 8</w:t>
      </w:r>
      <w:r>
        <w:t xml:space="preserve"> sets out the Location Factors.</w:t>
      </w:r>
    </w:p>
    <w:p w:rsidR="001D7784" w:rsidRDefault="001D7784" w:rsidP="00AA691B">
      <w:pPr>
        <w:pStyle w:val="Heading2"/>
        <w:spacing w:before="360"/>
        <w:rPr>
          <w:rFonts w:eastAsia="Times New Roman"/>
          <w:lang w:val="en"/>
        </w:rPr>
      </w:pPr>
      <w:bookmarkStart w:id="38" w:name="_Toc477352082"/>
      <w:r>
        <w:rPr>
          <w:rFonts w:eastAsia="Times New Roman"/>
          <w:lang w:val="en"/>
        </w:rPr>
        <w:t xml:space="preserve">Step </w:t>
      </w:r>
      <w:r w:rsidR="005A5395">
        <w:rPr>
          <w:rFonts w:eastAsia="Times New Roman"/>
          <w:lang w:val="en"/>
        </w:rPr>
        <w:t>4</w:t>
      </w:r>
      <w:r>
        <w:rPr>
          <w:rFonts w:eastAsia="Times New Roman"/>
          <w:lang w:val="en"/>
        </w:rPr>
        <w:t>: Fire sprinklers</w:t>
      </w:r>
      <w:bookmarkEnd w:id="38"/>
    </w:p>
    <w:p w:rsidR="001D7784" w:rsidRDefault="001D7784" w:rsidP="001D7784">
      <w:pPr>
        <w:rPr>
          <w:rFonts w:eastAsia="Times New Roman" w:cs="Arial"/>
          <w:szCs w:val="18"/>
          <w:lang w:val="en"/>
        </w:rPr>
      </w:pPr>
      <w:r>
        <w:rPr>
          <w:rFonts w:eastAsia="Times New Roman" w:cs="Arial"/>
          <w:szCs w:val="18"/>
          <w:lang w:val="en"/>
        </w:rPr>
        <w:t>A</w:t>
      </w:r>
      <w:r w:rsidR="007E5CB2">
        <w:rPr>
          <w:rFonts w:eastAsia="Times New Roman" w:cs="Arial"/>
          <w:szCs w:val="18"/>
          <w:lang w:val="en"/>
        </w:rPr>
        <w:t xml:space="preserve"> </w:t>
      </w:r>
      <w:r w:rsidR="00CE1000">
        <w:rPr>
          <w:rFonts w:eastAsia="Times New Roman" w:cs="Arial"/>
          <w:szCs w:val="18"/>
          <w:lang w:val="en"/>
        </w:rPr>
        <w:t>F</w:t>
      </w:r>
      <w:r w:rsidR="007E5CB2">
        <w:rPr>
          <w:rFonts w:eastAsia="Times New Roman" w:cs="Arial"/>
          <w:szCs w:val="18"/>
          <w:lang w:val="en"/>
        </w:rPr>
        <w:t xml:space="preserve">ire </w:t>
      </w:r>
      <w:r w:rsidR="00CE1000">
        <w:rPr>
          <w:rFonts w:eastAsia="Times New Roman" w:cs="Arial"/>
          <w:szCs w:val="18"/>
          <w:lang w:val="en"/>
        </w:rPr>
        <w:t>S</w:t>
      </w:r>
      <w:r w:rsidR="007E5CB2">
        <w:rPr>
          <w:rFonts w:eastAsia="Times New Roman" w:cs="Arial"/>
          <w:szCs w:val="18"/>
          <w:lang w:val="en"/>
        </w:rPr>
        <w:t xml:space="preserve">prinkler </w:t>
      </w:r>
      <w:r w:rsidR="00CE1000">
        <w:rPr>
          <w:rFonts w:eastAsia="Times New Roman" w:cs="Arial"/>
          <w:szCs w:val="18"/>
          <w:lang w:val="en"/>
        </w:rPr>
        <w:t>A</w:t>
      </w:r>
      <w:r w:rsidR="007E5CB2">
        <w:rPr>
          <w:rFonts w:eastAsia="Times New Roman" w:cs="Arial"/>
          <w:szCs w:val="18"/>
          <w:lang w:val="en"/>
        </w:rPr>
        <w:t xml:space="preserve">llowance is payable when </w:t>
      </w:r>
      <w:r>
        <w:rPr>
          <w:rFonts w:eastAsia="Times New Roman" w:cs="Arial"/>
          <w:szCs w:val="18"/>
          <w:lang w:val="en"/>
        </w:rPr>
        <w:t xml:space="preserve">fire sprinklers </w:t>
      </w:r>
      <w:r w:rsidR="005B7FD7">
        <w:rPr>
          <w:rFonts w:eastAsia="Times New Roman" w:cs="Arial"/>
          <w:szCs w:val="18"/>
          <w:lang w:val="en"/>
        </w:rPr>
        <w:t>have been</w:t>
      </w:r>
      <w:r>
        <w:rPr>
          <w:rFonts w:eastAsia="Times New Roman" w:cs="Arial"/>
          <w:szCs w:val="18"/>
          <w:lang w:val="en"/>
        </w:rPr>
        <w:t xml:space="preserve"> installed throughout the SDA dwelling</w:t>
      </w:r>
      <w:r w:rsidR="005B7FD7">
        <w:rPr>
          <w:rFonts w:eastAsia="Times New Roman" w:cs="Arial"/>
          <w:szCs w:val="18"/>
          <w:lang w:val="en"/>
        </w:rPr>
        <w:t xml:space="preserve"> and </w:t>
      </w:r>
      <w:r w:rsidR="007E5CB2">
        <w:rPr>
          <w:rFonts w:eastAsia="Times New Roman" w:cs="Arial"/>
          <w:szCs w:val="18"/>
          <w:lang w:val="en"/>
        </w:rPr>
        <w:t xml:space="preserve">they </w:t>
      </w:r>
      <w:r w:rsidR="005B7FD7">
        <w:rPr>
          <w:rFonts w:eastAsia="Times New Roman" w:cs="Arial"/>
          <w:szCs w:val="18"/>
          <w:lang w:val="en"/>
        </w:rPr>
        <w:t>compl</w:t>
      </w:r>
      <w:r w:rsidR="007E5CB2">
        <w:rPr>
          <w:rFonts w:eastAsia="Times New Roman" w:cs="Arial"/>
          <w:szCs w:val="18"/>
          <w:lang w:val="en"/>
        </w:rPr>
        <w:t>y</w:t>
      </w:r>
      <w:r w:rsidR="005B7FD7">
        <w:rPr>
          <w:rFonts w:eastAsia="Times New Roman" w:cs="Arial"/>
          <w:szCs w:val="18"/>
          <w:lang w:val="en"/>
        </w:rPr>
        <w:t xml:space="preserve"> with all relevant </w:t>
      </w:r>
      <w:r w:rsidR="00E070AB">
        <w:rPr>
          <w:rFonts w:eastAsia="Times New Roman" w:cs="Arial"/>
          <w:szCs w:val="18"/>
          <w:lang w:val="en"/>
        </w:rPr>
        <w:t xml:space="preserve">building codes and </w:t>
      </w:r>
      <w:r w:rsidR="005B7FD7">
        <w:rPr>
          <w:rFonts w:eastAsia="Times New Roman" w:cs="Arial"/>
          <w:szCs w:val="18"/>
          <w:lang w:val="en"/>
        </w:rPr>
        <w:t>laws</w:t>
      </w:r>
      <w:r>
        <w:rPr>
          <w:rFonts w:eastAsia="Times New Roman" w:cs="Arial"/>
          <w:szCs w:val="18"/>
          <w:lang w:val="en"/>
        </w:rPr>
        <w:t xml:space="preserve">. </w:t>
      </w:r>
      <w:r w:rsidR="00E070AB">
        <w:rPr>
          <w:rFonts w:eastAsia="Times New Roman" w:cs="Arial"/>
          <w:szCs w:val="18"/>
          <w:lang w:val="en"/>
        </w:rPr>
        <w:t xml:space="preserve"> For example, they comply with requirements in relation to </w:t>
      </w:r>
      <w:r w:rsidR="00CE1000">
        <w:rPr>
          <w:rFonts w:eastAsia="Times New Roman" w:cs="Arial"/>
          <w:szCs w:val="18"/>
          <w:lang w:val="en"/>
        </w:rPr>
        <w:t xml:space="preserve">installation, testing and </w:t>
      </w:r>
      <w:r w:rsidR="00E070AB">
        <w:rPr>
          <w:rFonts w:eastAsia="Times New Roman" w:cs="Arial"/>
          <w:szCs w:val="18"/>
          <w:lang w:val="en"/>
        </w:rPr>
        <w:t xml:space="preserve">maintenance. </w:t>
      </w:r>
    </w:p>
    <w:p w:rsidR="007F0FEA" w:rsidRPr="007E5CB2" w:rsidRDefault="000E2E19" w:rsidP="007F0FEA">
      <w:pPr>
        <w:rPr>
          <w:rFonts w:cs="Arial"/>
        </w:rPr>
      </w:pPr>
      <w:r w:rsidRPr="007E5CB2">
        <w:rPr>
          <w:rFonts w:eastAsia="Times New Roman" w:cs="Arial"/>
          <w:szCs w:val="18"/>
          <w:lang w:val="en"/>
        </w:rPr>
        <w:t xml:space="preserve">To </w:t>
      </w:r>
      <w:r w:rsidR="005F1A35" w:rsidRPr="007E5CB2">
        <w:rPr>
          <w:rFonts w:eastAsia="Times New Roman" w:cs="Arial"/>
          <w:szCs w:val="18"/>
          <w:lang w:val="en"/>
        </w:rPr>
        <w:t>adjust</w:t>
      </w:r>
      <w:r w:rsidR="005B7FD7" w:rsidRPr="007E5CB2">
        <w:rPr>
          <w:rFonts w:eastAsia="Times New Roman" w:cs="Arial"/>
          <w:szCs w:val="18"/>
          <w:lang w:val="en"/>
        </w:rPr>
        <w:t xml:space="preserve"> the SDA price for fire sprinklers, </w:t>
      </w:r>
      <w:r w:rsidR="005F1A35" w:rsidRPr="007E5CB2">
        <w:rPr>
          <w:rFonts w:cs="Arial"/>
        </w:rPr>
        <w:t xml:space="preserve">the location adjusted </w:t>
      </w:r>
      <w:r w:rsidR="005B7FD7" w:rsidRPr="007E5CB2">
        <w:rPr>
          <w:rFonts w:cs="Arial"/>
        </w:rPr>
        <w:t>B</w:t>
      </w:r>
      <w:r w:rsidR="005F1A35" w:rsidRPr="007E5CB2">
        <w:rPr>
          <w:rFonts w:cs="Arial"/>
        </w:rPr>
        <w:t xml:space="preserve">ase </w:t>
      </w:r>
      <w:r w:rsidR="005B7FD7" w:rsidRPr="007E5CB2">
        <w:rPr>
          <w:rFonts w:cs="Arial"/>
        </w:rPr>
        <w:t>P</w:t>
      </w:r>
      <w:r w:rsidR="005F1A35" w:rsidRPr="007E5CB2">
        <w:rPr>
          <w:rFonts w:cs="Arial"/>
        </w:rPr>
        <w:t xml:space="preserve">rice </w:t>
      </w:r>
      <w:r w:rsidR="005B7FD7" w:rsidRPr="007E5CB2">
        <w:rPr>
          <w:rFonts w:cs="Arial"/>
        </w:rPr>
        <w:t xml:space="preserve">is multiplied </w:t>
      </w:r>
      <w:r w:rsidR="005F1A35" w:rsidRPr="007E5CB2">
        <w:rPr>
          <w:rFonts w:cs="Arial"/>
        </w:rPr>
        <w:t xml:space="preserve">by </w:t>
      </w:r>
      <w:r w:rsidR="00CE1000">
        <w:rPr>
          <w:rFonts w:cs="Arial"/>
        </w:rPr>
        <w:t>(</w:t>
      </w:r>
      <w:r w:rsidR="005B7FD7" w:rsidRPr="007E5CB2">
        <w:rPr>
          <w:rFonts w:cs="Arial"/>
        </w:rPr>
        <w:t xml:space="preserve">1 </w:t>
      </w:r>
      <w:r w:rsidR="005F1A35" w:rsidRPr="007E5CB2">
        <w:rPr>
          <w:rFonts w:cs="Arial"/>
        </w:rPr>
        <w:t xml:space="preserve">+ the </w:t>
      </w:r>
      <w:r w:rsidR="00CE1000">
        <w:rPr>
          <w:rFonts w:cs="Arial"/>
        </w:rPr>
        <w:t>F</w:t>
      </w:r>
      <w:r w:rsidR="005F1A35" w:rsidRPr="007E5CB2">
        <w:rPr>
          <w:rFonts w:cs="Arial"/>
        </w:rPr>
        <w:t xml:space="preserve">ire </w:t>
      </w:r>
      <w:r w:rsidR="00CE1000">
        <w:rPr>
          <w:rFonts w:cs="Arial"/>
        </w:rPr>
        <w:t>S</w:t>
      </w:r>
      <w:r w:rsidR="005F1A35" w:rsidRPr="007E5CB2">
        <w:rPr>
          <w:rFonts w:cs="Arial"/>
        </w:rPr>
        <w:t xml:space="preserve">prinkler </w:t>
      </w:r>
      <w:r w:rsidR="00CE1000">
        <w:rPr>
          <w:rFonts w:cs="Arial"/>
        </w:rPr>
        <w:t>A</w:t>
      </w:r>
      <w:r w:rsidR="008A05AF" w:rsidRPr="007E5CB2">
        <w:rPr>
          <w:rFonts w:cs="Arial"/>
        </w:rPr>
        <w:t>llowance</w:t>
      </w:r>
      <w:r w:rsidR="00CE1000">
        <w:rPr>
          <w:rFonts w:cs="Arial"/>
        </w:rPr>
        <w:t>)</w:t>
      </w:r>
      <w:r w:rsidR="005F1A35" w:rsidRPr="007E5CB2">
        <w:rPr>
          <w:rFonts w:cs="Arial"/>
        </w:rPr>
        <w:t xml:space="preserve"> </w:t>
      </w:r>
      <w:r w:rsidR="00E070AB">
        <w:rPr>
          <w:rFonts w:cs="Arial"/>
        </w:rPr>
        <w:t>for the B</w:t>
      </w:r>
      <w:r w:rsidR="005F1A35" w:rsidRPr="007E5CB2">
        <w:rPr>
          <w:rFonts w:cs="Arial"/>
        </w:rPr>
        <w:t xml:space="preserve">uilding </w:t>
      </w:r>
      <w:r w:rsidR="00E070AB">
        <w:rPr>
          <w:rFonts w:cs="Arial"/>
        </w:rPr>
        <w:t>T</w:t>
      </w:r>
      <w:r w:rsidR="005F1A35" w:rsidRPr="007E5CB2">
        <w:rPr>
          <w:rFonts w:cs="Arial"/>
        </w:rPr>
        <w:t xml:space="preserve">ype. </w:t>
      </w:r>
    </w:p>
    <w:p w:rsidR="00E070AB" w:rsidRPr="00E070AB" w:rsidRDefault="00E070AB" w:rsidP="007E5CB2">
      <w:pPr>
        <w:spacing w:after="0"/>
        <w:rPr>
          <w:rFonts w:cs="Arial"/>
          <w:b/>
          <w:szCs w:val="24"/>
        </w:rPr>
      </w:pPr>
      <w:r w:rsidRPr="00E070AB">
        <w:rPr>
          <w:rFonts w:cs="Arial"/>
          <w:b/>
          <w:szCs w:val="24"/>
        </w:rPr>
        <w:t>Fire Sprinkler Allowance amount</w:t>
      </w:r>
    </w:p>
    <w:p w:rsidR="00E070AB" w:rsidRDefault="00E070AB" w:rsidP="007E5CB2">
      <w:pPr>
        <w:spacing w:after="0"/>
        <w:rPr>
          <w:rFonts w:cs="Arial"/>
          <w:szCs w:val="24"/>
        </w:rPr>
      </w:pPr>
      <w:r>
        <w:rPr>
          <w:rFonts w:cs="Arial"/>
          <w:szCs w:val="24"/>
        </w:rPr>
        <w:t xml:space="preserve">The </w:t>
      </w:r>
      <w:r w:rsidR="007E5CB2" w:rsidRPr="007E5CB2">
        <w:rPr>
          <w:rFonts w:cs="Arial"/>
          <w:szCs w:val="24"/>
        </w:rPr>
        <w:t xml:space="preserve">Fire Sprinkler Allowance </w:t>
      </w:r>
      <w:r>
        <w:rPr>
          <w:rFonts w:cs="Arial"/>
          <w:szCs w:val="24"/>
        </w:rPr>
        <w:t>amount is:</w:t>
      </w:r>
    </w:p>
    <w:p w:rsidR="00E070AB" w:rsidRDefault="00E070AB" w:rsidP="00E070AB">
      <w:pPr>
        <w:pStyle w:val="ListParagraph"/>
        <w:numPr>
          <w:ilvl w:val="0"/>
          <w:numId w:val="5"/>
        </w:numPr>
        <w:spacing w:after="0"/>
        <w:rPr>
          <w:rFonts w:cs="Arial"/>
          <w:szCs w:val="24"/>
        </w:rPr>
      </w:pPr>
      <w:r>
        <w:rPr>
          <w:rFonts w:cs="Arial"/>
          <w:szCs w:val="24"/>
        </w:rPr>
        <w:t xml:space="preserve">For Apartments: </w:t>
      </w:r>
      <w:r w:rsidR="007E5CB2" w:rsidRPr="00E070AB">
        <w:rPr>
          <w:rFonts w:cs="Arial"/>
          <w:szCs w:val="24"/>
        </w:rPr>
        <w:t xml:space="preserve">1.2% </w:t>
      </w:r>
    </w:p>
    <w:p w:rsidR="007E5CB2" w:rsidRPr="00E070AB" w:rsidRDefault="00E070AB" w:rsidP="00E070AB">
      <w:pPr>
        <w:pStyle w:val="ListParagraph"/>
        <w:numPr>
          <w:ilvl w:val="0"/>
          <w:numId w:val="5"/>
        </w:numPr>
        <w:spacing w:after="0"/>
        <w:rPr>
          <w:rFonts w:cs="Arial"/>
          <w:szCs w:val="24"/>
        </w:rPr>
      </w:pPr>
      <w:r>
        <w:rPr>
          <w:rFonts w:cs="Arial"/>
          <w:szCs w:val="24"/>
        </w:rPr>
        <w:t>F</w:t>
      </w:r>
      <w:r w:rsidRPr="00E070AB">
        <w:rPr>
          <w:rFonts w:cs="Arial"/>
          <w:szCs w:val="24"/>
        </w:rPr>
        <w:t xml:space="preserve">or other </w:t>
      </w:r>
      <w:r>
        <w:rPr>
          <w:rFonts w:cs="Arial"/>
          <w:szCs w:val="24"/>
        </w:rPr>
        <w:t>B</w:t>
      </w:r>
      <w:r w:rsidRPr="00E070AB">
        <w:rPr>
          <w:rFonts w:cs="Arial"/>
          <w:szCs w:val="24"/>
        </w:rPr>
        <w:t xml:space="preserve">uilding </w:t>
      </w:r>
      <w:r>
        <w:rPr>
          <w:rFonts w:cs="Arial"/>
          <w:szCs w:val="24"/>
        </w:rPr>
        <w:t>T</w:t>
      </w:r>
      <w:r w:rsidRPr="00E070AB">
        <w:rPr>
          <w:rFonts w:cs="Arial"/>
          <w:szCs w:val="24"/>
        </w:rPr>
        <w:t>ypes</w:t>
      </w:r>
      <w:r>
        <w:rPr>
          <w:rFonts w:cs="Arial"/>
          <w:szCs w:val="24"/>
        </w:rPr>
        <w:t>:</w:t>
      </w:r>
      <w:r w:rsidR="007E5CB2" w:rsidRPr="00E070AB">
        <w:rPr>
          <w:rFonts w:cs="Arial"/>
          <w:szCs w:val="24"/>
        </w:rPr>
        <w:t xml:space="preserve"> 1.9%</w:t>
      </w:r>
      <w:r>
        <w:rPr>
          <w:rFonts w:cs="Arial"/>
          <w:szCs w:val="24"/>
        </w:rPr>
        <w:t>.</w:t>
      </w:r>
      <w:r w:rsidR="007E5CB2" w:rsidRPr="00E070AB">
        <w:rPr>
          <w:rFonts w:cs="Arial"/>
          <w:szCs w:val="24"/>
        </w:rPr>
        <w:t xml:space="preserve"> </w:t>
      </w:r>
    </w:p>
    <w:p w:rsidR="007E5CB2" w:rsidRDefault="007E5CB2" w:rsidP="007F0FEA"/>
    <w:p w:rsidR="00ED0573" w:rsidRDefault="00ED0573" w:rsidP="004824F7">
      <w:pPr>
        <w:pStyle w:val="Heading2"/>
        <w:sectPr w:rsidR="00ED0573" w:rsidSect="00ED0573">
          <w:pgSz w:w="11906" w:h="16838"/>
          <w:pgMar w:top="567" w:right="720" w:bottom="567" w:left="1276" w:header="709" w:footer="709" w:gutter="0"/>
          <w:cols w:space="708"/>
          <w:titlePg/>
          <w:docGrid w:linePitch="360"/>
        </w:sectPr>
      </w:pPr>
    </w:p>
    <w:p w:rsidR="004824F7" w:rsidRDefault="004824F7" w:rsidP="004824F7">
      <w:pPr>
        <w:pStyle w:val="Heading2"/>
      </w:pPr>
      <w:bookmarkStart w:id="39" w:name="_Toc477352083"/>
      <w:r>
        <w:t>Base Prices for New Builds</w:t>
      </w:r>
      <w:bookmarkEnd w:id="39"/>
    </w:p>
    <w:p w:rsidR="004824F7" w:rsidRPr="00A23622" w:rsidRDefault="004824F7" w:rsidP="004824F7">
      <w:pPr>
        <w:pStyle w:val="Caption"/>
      </w:pPr>
      <w:r w:rsidRPr="00A23622">
        <w:t xml:space="preserve">Table </w:t>
      </w:r>
      <w:r>
        <w:t>6</w:t>
      </w:r>
      <w:r w:rsidRPr="00A23622">
        <w:t xml:space="preserve">: </w:t>
      </w:r>
      <w:r>
        <w:t xml:space="preserve">Annual </w:t>
      </w:r>
      <w:r w:rsidRPr="00A23622">
        <w:t xml:space="preserve">Base price per participant </w:t>
      </w:r>
      <w:r w:rsidRPr="004824F7">
        <w:t>for New Builds ($2016</w:t>
      </w:r>
      <w:r w:rsidRPr="00A23622">
        <w:t xml:space="preserve">/17) </w:t>
      </w:r>
    </w:p>
    <w:tbl>
      <w:tblPr>
        <w:tblW w:w="13876" w:type="dxa"/>
        <w:tblBorders>
          <w:insideH w:val="single" w:sz="4" w:space="0" w:color="7030A0"/>
          <w:insideV w:val="single" w:sz="4" w:space="0" w:color="7030A0"/>
        </w:tblBorders>
        <w:tblCellMar>
          <w:left w:w="57" w:type="dxa"/>
          <w:right w:w="57" w:type="dxa"/>
        </w:tblCellMar>
        <w:tblLook w:val="04A0" w:firstRow="1" w:lastRow="0" w:firstColumn="1" w:lastColumn="0" w:noHBand="0" w:noVBand="1"/>
      </w:tblPr>
      <w:tblGrid>
        <w:gridCol w:w="3143"/>
        <w:gridCol w:w="1036"/>
        <w:gridCol w:w="940"/>
        <w:gridCol w:w="940"/>
        <w:gridCol w:w="940"/>
        <w:gridCol w:w="940"/>
        <w:gridCol w:w="940"/>
        <w:gridCol w:w="940"/>
        <w:gridCol w:w="938"/>
        <w:gridCol w:w="940"/>
        <w:gridCol w:w="950"/>
        <w:gridCol w:w="1229"/>
      </w:tblGrid>
      <w:tr w:rsidR="004824F7" w:rsidRPr="005C4E27" w:rsidTr="00816D23">
        <w:trPr>
          <w:trHeight w:val="334"/>
        </w:trPr>
        <w:tc>
          <w:tcPr>
            <w:tcW w:w="3143" w:type="dxa"/>
            <w:vMerge w:val="restart"/>
            <w:tcBorders>
              <w:top w:val="single" w:sz="4" w:space="0" w:color="7030A0"/>
              <w:left w:val="single" w:sz="4" w:space="0" w:color="7030A0"/>
              <w:bottom w:val="single" w:sz="4" w:space="0" w:color="7030A0"/>
              <w:right w:val="single" w:sz="4" w:space="0" w:color="FFFFFF" w:themeColor="background1"/>
            </w:tcBorders>
            <w:shd w:val="clear" w:color="auto" w:fill="7030A0"/>
            <w:noWrap/>
            <w:vAlign w:val="center"/>
            <w:hideMark/>
          </w:tcPr>
          <w:p w:rsidR="004824F7" w:rsidRPr="001A4824" w:rsidRDefault="004824F7" w:rsidP="00AE614F">
            <w:pPr>
              <w:spacing w:after="0" w:line="240" w:lineRule="auto"/>
              <w:rPr>
                <w:rFonts w:eastAsia="Times New Roman" w:cs="Arial"/>
                <w:b/>
                <w:color w:val="FFFFFF" w:themeColor="background1"/>
                <w:sz w:val="18"/>
                <w:szCs w:val="18"/>
                <w:lang w:eastAsia="en-AU"/>
              </w:rPr>
            </w:pPr>
            <w:r w:rsidRPr="001A4824">
              <w:rPr>
                <w:rFonts w:eastAsia="Times New Roman" w:cs="Arial"/>
                <w:b/>
                <w:color w:val="FFFFFF" w:themeColor="background1"/>
                <w:sz w:val="18"/>
                <w:szCs w:val="18"/>
                <w:lang w:eastAsia="en-AU"/>
              </w:rPr>
              <w:t xml:space="preserve">Building </w:t>
            </w:r>
            <w:r w:rsidR="00AE614F">
              <w:rPr>
                <w:rFonts w:eastAsia="Times New Roman" w:cs="Arial"/>
                <w:b/>
                <w:color w:val="FFFFFF" w:themeColor="background1"/>
                <w:sz w:val="18"/>
                <w:szCs w:val="18"/>
                <w:lang w:eastAsia="en-AU"/>
              </w:rPr>
              <w:t>T</w:t>
            </w:r>
            <w:r w:rsidRPr="001A4824">
              <w:rPr>
                <w:rFonts w:eastAsia="Times New Roman" w:cs="Arial"/>
                <w:b/>
                <w:color w:val="FFFFFF" w:themeColor="background1"/>
                <w:sz w:val="18"/>
                <w:szCs w:val="18"/>
                <w:lang w:eastAsia="en-AU"/>
              </w:rPr>
              <w:t xml:space="preserve">ype / </w:t>
            </w:r>
            <w:r w:rsidR="00AE614F">
              <w:rPr>
                <w:rFonts w:eastAsia="Times New Roman" w:cs="Arial"/>
                <w:b/>
                <w:color w:val="FFFFFF" w:themeColor="background1"/>
                <w:sz w:val="18"/>
                <w:szCs w:val="18"/>
                <w:lang w:eastAsia="en-AU"/>
              </w:rPr>
              <w:t>D</w:t>
            </w:r>
            <w:r w:rsidRPr="001A4824">
              <w:rPr>
                <w:rFonts w:eastAsia="Times New Roman" w:cs="Arial"/>
                <w:b/>
                <w:color w:val="FFFFFF" w:themeColor="background1"/>
                <w:sz w:val="18"/>
                <w:szCs w:val="18"/>
                <w:lang w:eastAsia="en-AU"/>
              </w:rPr>
              <w:t xml:space="preserve">esign </w:t>
            </w:r>
            <w:r w:rsidR="00AE614F">
              <w:rPr>
                <w:rFonts w:eastAsia="Times New Roman" w:cs="Arial"/>
                <w:b/>
                <w:color w:val="FFFFFF" w:themeColor="background1"/>
                <w:sz w:val="18"/>
                <w:szCs w:val="18"/>
                <w:lang w:eastAsia="en-AU"/>
              </w:rPr>
              <w:t>C</w:t>
            </w:r>
            <w:r w:rsidRPr="001A4824">
              <w:rPr>
                <w:rFonts w:eastAsia="Times New Roman" w:cs="Arial"/>
                <w:b/>
                <w:color w:val="FFFFFF" w:themeColor="background1"/>
                <w:sz w:val="18"/>
                <w:szCs w:val="18"/>
                <w:lang w:eastAsia="en-AU"/>
              </w:rPr>
              <w:t>ategory</w:t>
            </w:r>
          </w:p>
        </w:tc>
        <w:tc>
          <w:tcPr>
            <w:tcW w:w="1036" w:type="dxa"/>
            <w:vMerge w:val="restart"/>
            <w:tcBorders>
              <w:top w:val="single" w:sz="4" w:space="0" w:color="7030A0"/>
              <w:left w:val="single" w:sz="4" w:space="0" w:color="FFFFFF" w:themeColor="background1"/>
              <w:bottom w:val="single" w:sz="4" w:space="0" w:color="7030A0"/>
              <w:right w:val="single" w:sz="4" w:space="0" w:color="FFFFFF" w:themeColor="background1"/>
            </w:tcBorders>
            <w:shd w:val="clear" w:color="auto" w:fill="7030A0"/>
            <w:vAlign w:val="center"/>
          </w:tcPr>
          <w:p w:rsidR="004824F7" w:rsidRPr="001A4824" w:rsidRDefault="004824F7" w:rsidP="00816D23">
            <w:pPr>
              <w:spacing w:after="0" w:line="240" w:lineRule="auto"/>
              <w:jc w:val="center"/>
              <w:rPr>
                <w:rFonts w:eastAsia="Times New Roman" w:cs="Arial"/>
                <w:b/>
                <w:color w:val="FFFFFF" w:themeColor="background1"/>
                <w:sz w:val="18"/>
                <w:szCs w:val="18"/>
                <w:lang w:eastAsia="en-AU"/>
              </w:rPr>
            </w:pPr>
            <w:r w:rsidRPr="001A4824">
              <w:rPr>
                <w:rFonts w:eastAsia="Times New Roman" w:cs="Arial"/>
                <w:b/>
                <w:color w:val="FFFFFF" w:themeColor="background1"/>
                <w:sz w:val="18"/>
                <w:szCs w:val="18"/>
                <w:lang w:eastAsia="en-AU"/>
              </w:rPr>
              <w:t>Basic</w:t>
            </w:r>
          </w:p>
        </w:tc>
        <w:tc>
          <w:tcPr>
            <w:tcW w:w="1880" w:type="dxa"/>
            <w:gridSpan w:val="2"/>
            <w:tcBorders>
              <w:top w:val="single" w:sz="4" w:space="0" w:color="7030A0"/>
              <w:left w:val="single" w:sz="4" w:space="0" w:color="FFFFFF" w:themeColor="background1"/>
              <w:bottom w:val="single" w:sz="4" w:space="0" w:color="FFFFFF" w:themeColor="background1"/>
              <w:right w:val="single" w:sz="4" w:space="0" w:color="FFFFFF" w:themeColor="background1"/>
            </w:tcBorders>
            <w:shd w:val="clear" w:color="auto" w:fill="7030A0"/>
            <w:noWrap/>
            <w:vAlign w:val="center"/>
            <w:hideMark/>
          </w:tcPr>
          <w:p w:rsidR="004824F7" w:rsidRPr="001A4824" w:rsidRDefault="004824F7" w:rsidP="00816D23">
            <w:pPr>
              <w:spacing w:after="0" w:line="240" w:lineRule="auto"/>
              <w:jc w:val="center"/>
              <w:rPr>
                <w:rFonts w:eastAsia="Times New Roman" w:cs="Arial"/>
                <w:b/>
                <w:color w:val="FFFFFF" w:themeColor="background1"/>
                <w:sz w:val="18"/>
                <w:szCs w:val="18"/>
                <w:lang w:eastAsia="en-AU"/>
              </w:rPr>
            </w:pPr>
            <w:r w:rsidRPr="001A4824">
              <w:rPr>
                <w:rFonts w:eastAsia="Times New Roman" w:cs="Arial"/>
                <w:b/>
                <w:color w:val="FFFFFF" w:themeColor="background1"/>
                <w:sz w:val="18"/>
                <w:szCs w:val="18"/>
                <w:lang w:eastAsia="en-AU"/>
              </w:rPr>
              <w:t>Improved Liv</w:t>
            </w:r>
            <w:r w:rsidR="002C59FD">
              <w:rPr>
                <w:rFonts w:eastAsia="Times New Roman" w:cs="Arial"/>
                <w:b/>
                <w:color w:val="FFFFFF" w:themeColor="background1"/>
                <w:sz w:val="18"/>
                <w:szCs w:val="18"/>
                <w:lang w:eastAsia="en-AU"/>
              </w:rPr>
              <w:t>e</w:t>
            </w:r>
            <w:r w:rsidRPr="001A4824">
              <w:rPr>
                <w:rFonts w:eastAsia="Times New Roman" w:cs="Arial"/>
                <w:b/>
                <w:color w:val="FFFFFF" w:themeColor="background1"/>
                <w:sz w:val="18"/>
                <w:szCs w:val="18"/>
                <w:lang w:eastAsia="en-AU"/>
              </w:rPr>
              <w:t>ability</w:t>
            </w:r>
          </w:p>
        </w:tc>
        <w:tc>
          <w:tcPr>
            <w:tcW w:w="1880" w:type="dxa"/>
            <w:gridSpan w:val="2"/>
            <w:tcBorders>
              <w:top w:val="single" w:sz="4" w:space="0" w:color="7030A0"/>
              <w:left w:val="single" w:sz="4" w:space="0" w:color="FFFFFF" w:themeColor="background1"/>
              <w:bottom w:val="single" w:sz="4" w:space="0" w:color="FFFFFF" w:themeColor="background1"/>
              <w:right w:val="single" w:sz="4" w:space="0" w:color="FFFFFF" w:themeColor="background1"/>
            </w:tcBorders>
            <w:shd w:val="clear" w:color="auto" w:fill="7030A0"/>
            <w:noWrap/>
            <w:vAlign w:val="center"/>
            <w:hideMark/>
          </w:tcPr>
          <w:p w:rsidR="004824F7" w:rsidRPr="001A4824" w:rsidRDefault="004824F7" w:rsidP="00816D23">
            <w:pPr>
              <w:spacing w:after="0" w:line="240" w:lineRule="auto"/>
              <w:jc w:val="center"/>
              <w:rPr>
                <w:rFonts w:eastAsia="Times New Roman" w:cs="Arial"/>
                <w:b/>
                <w:color w:val="FFFFFF" w:themeColor="background1"/>
                <w:sz w:val="18"/>
                <w:szCs w:val="18"/>
                <w:lang w:eastAsia="en-AU"/>
              </w:rPr>
            </w:pPr>
            <w:r w:rsidRPr="001A4824">
              <w:rPr>
                <w:rFonts w:eastAsia="Times New Roman" w:cs="Arial"/>
                <w:b/>
                <w:color w:val="FFFFFF" w:themeColor="background1"/>
                <w:sz w:val="18"/>
                <w:szCs w:val="18"/>
                <w:lang w:eastAsia="en-AU"/>
              </w:rPr>
              <w:t xml:space="preserve">Fully </w:t>
            </w:r>
            <w:r>
              <w:rPr>
                <w:rFonts w:eastAsia="Times New Roman" w:cs="Arial"/>
                <w:b/>
                <w:color w:val="FFFFFF" w:themeColor="background1"/>
                <w:sz w:val="18"/>
                <w:szCs w:val="18"/>
                <w:lang w:eastAsia="en-AU"/>
              </w:rPr>
              <w:t>A</w:t>
            </w:r>
            <w:r w:rsidRPr="001A4824">
              <w:rPr>
                <w:rFonts w:eastAsia="Times New Roman" w:cs="Arial"/>
                <w:b/>
                <w:color w:val="FFFFFF" w:themeColor="background1"/>
                <w:sz w:val="18"/>
                <w:szCs w:val="18"/>
                <w:lang w:eastAsia="en-AU"/>
              </w:rPr>
              <w:t>ccessible</w:t>
            </w:r>
          </w:p>
        </w:tc>
        <w:tc>
          <w:tcPr>
            <w:tcW w:w="2818" w:type="dxa"/>
            <w:gridSpan w:val="3"/>
            <w:tcBorders>
              <w:top w:val="single" w:sz="4" w:space="0" w:color="7030A0"/>
              <w:left w:val="single" w:sz="4" w:space="0" w:color="FFFFFF" w:themeColor="background1"/>
              <w:bottom w:val="single" w:sz="4" w:space="0" w:color="FFFFFF" w:themeColor="background1"/>
              <w:right w:val="single" w:sz="4" w:space="0" w:color="FFFFFF" w:themeColor="background1"/>
            </w:tcBorders>
            <w:shd w:val="clear" w:color="auto" w:fill="7030A0"/>
            <w:noWrap/>
            <w:vAlign w:val="center"/>
            <w:hideMark/>
          </w:tcPr>
          <w:p w:rsidR="004824F7" w:rsidRPr="001A4824" w:rsidRDefault="004824F7" w:rsidP="00816D23">
            <w:pPr>
              <w:spacing w:after="0" w:line="240" w:lineRule="auto"/>
              <w:jc w:val="center"/>
              <w:rPr>
                <w:rFonts w:eastAsia="Times New Roman" w:cs="Arial"/>
                <w:b/>
                <w:color w:val="FFFFFF" w:themeColor="background1"/>
                <w:sz w:val="18"/>
                <w:szCs w:val="18"/>
                <w:lang w:eastAsia="en-AU"/>
              </w:rPr>
            </w:pPr>
            <w:r w:rsidRPr="001A4824">
              <w:rPr>
                <w:rFonts w:eastAsia="Times New Roman" w:cs="Arial"/>
                <w:b/>
                <w:color w:val="FFFFFF" w:themeColor="background1"/>
                <w:sz w:val="18"/>
                <w:szCs w:val="18"/>
                <w:lang w:eastAsia="en-AU"/>
              </w:rPr>
              <w:t>Robust</w:t>
            </w:r>
          </w:p>
        </w:tc>
        <w:tc>
          <w:tcPr>
            <w:tcW w:w="1890" w:type="dxa"/>
            <w:gridSpan w:val="2"/>
            <w:tcBorders>
              <w:top w:val="single" w:sz="4" w:space="0" w:color="7030A0"/>
              <w:left w:val="single" w:sz="4" w:space="0" w:color="FFFFFF" w:themeColor="background1"/>
              <w:bottom w:val="single" w:sz="4" w:space="0" w:color="FFFFFF" w:themeColor="background1"/>
              <w:right w:val="single" w:sz="4" w:space="0" w:color="FFFFFF" w:themeColor="background1"/>
            </w:tcBorders>
            <w:shd w:val="clear" w:color="auto" w:fill="7030A0"/>
            <w:noWrap/>
            <w:vAlign w:val="center"/>
            <w:hideMark/>
          </w:tcPr>
          <w:p w:rsidR="004824F7" w:rsidRPr="001A4824" w:rsidRDefault="004824F7" w:rsidP="00816D23">
            <w:pPr>
              <w:spacing w:after="0" w:line="240" w:lineRule="auto"/>
              <w:jc w:val="center"/>
              <w:rPr>
                <w:rFonts w:eastAsia="Times New Roman" w:cs="Arial"/>
                <w:b/>
                <w:color w:val="FFFFFF" w:themeColor="background1"/>
                <w:sz w:val="18"/>
                <w:szCs w:val="18"/>
                <w:lang w:eastAsia="en-AU"/>
              </w:rPr>
            </w:pPr>
            <w:r w:rsidRPr="001A4824">
              <w:rPr>
                <w:rFonts w:eastAsia="Times New Roman" w:cs="Arial"/>
                <w:b/>
                <w:color w:val="FFFFFF" w:themeColor="background1"/>
                <w:sz w:val="18"/>
                <w:szCs w:val="18"/>
                <w:lang w:eastAsia="en-AU"/>
              </w:rPr>
              <w:t xml:space="preserve">High </w:t>
            </w:r>
            <w:r>
              <w:rPr>
                <w:rFonts w:eastAsia="Times New Roman" w:cs="Arial"/>
                <w:b/>
                <w:color w:val="FFFFFF" w:themeColor="background1"/>
                <w:sz w:val="18"/>
                <w:szCs w:val="18"/>
                <w:lang w:eastAsia="en-AU"/>
              </w:rPr>
              <w:t>P</w:t>
            </w:r>
            <w:r w:rsidRPr="001A4824">
              <w:rPr>
                <w:rFonts w:eastAsia="Times New Roman" w:cs="Arial"/>
                <w:b/>
                <w:color w:val="FFFFFF" w:themeColor="background1"/>
                <w:sz w:val="18"/>
                <w:szCs w:val="18"/>
                <w:lang w:eastAsia="en-AU"/>
              </w:rPr>
              <w:t xml:space="preserve">hysical </w:t>
            </w:r>
            <w:r>
              <w:rPr>
                <w:rFonts w:eastAsia="Times New Roman" w:cs="Arial"/>
                <w:b/>
                <w:color w:val="FFFFFF" w:themeColor="background1"/>
                <w:sz w:val="18"/>
                <w:szCs w:val="18"/>
                <w:lang w:eastAsia="en-AU"/>
              </w:rPr>
              <w:t>S</w:t>
            </w:r>
            <w:r w:rsidRPr="001A4824">
              <w:rPr>
                <w:rFonts w:eastAsia="Times New Roman" w:cs="Arial"/>
                <w:b/>
                <w:color w:val="FFFFFF" w:themeColor="background1"/>
                <w:sz w:val="18"/>
                <w:szCs w:val="18"/>
                <w:lang w:eastAsia="en-AU"/>
              </w:rPr>
              <w:t>upport</w:t>
            </w:r>
          </w:p>
        </w:tc>
        <w:tc>
          <w:tcPr>
            <w:tcW w:w="1229" w:type="dxa"/>
            <w:vMerge w:val="restart"/>
            <w:tcBorders>
              <w:top w:val="single" w:sz="4" w:space="0" w:color="7030A0"/>
              <w:left w:val="single" w:sz="4" w:space="0" w:color="FFFFFF" w:themeColor="background1"/>
              <w:bottom w:val="single" w:sz="4" w:space="0" w:color="7030A0"/>
              <w:right w:val="single" w:sz="4" w:space="0" w:color="7030A0"/>
            </w:tcBorders>
            <w:shd w:val="clear" w:color="auto" w:fill="7030A0"/>
            <w:noWrap/>
            <w:vAlign w:val="center"/>
            <w:hideMark/>
          </w:tcPr>
          <w:p w:rsidR="004824F7" w:rsidRPr="001A4824" w:rsidRDefault="004824F7" w:rsidP="00816D23">
            <w:pPr>
              <w:spacing w:after="0" w:line="240" w:lineRule="auto"/>
              <w:jc w:val="center"/>
              <w:rPr>
                <w:rFonts w:eastAsia="Times New Roman" w:cs="Arial"/>
                <w:b/>
                <w:color w:val="FFFFFF" w:themeColor="background1"/>
                <w:sz w:val="18"/>
                <w:szCs w:val="18"/>
                <w:lang w:eastAsia="en-AU"/>
              </w:rPr>
            </w:pPr>
            <w:r w:rsidRPr="001A4824">
              <w:rPr>
                <w:rFonts w:eastAsia="Times New Roman" w:cs="Arial"/>
                <w:b/>
                <w:color w:val="FFFFFF" w:themeColor="background1"/>
                <w:sz w:val="18"/>
                <w:szCs w:val="18"/>
                <w:lang w:eastAsia="en-AU"/>
              </w:rPr>
              <w:t>Innovation</w:t>
            </w:r>
          </w:p>
        </w:tc>
      </w:tr>
      <w:tr w:rsidR="004824F7" w:rsidRPr="005C4E27" w:rsidTr="00816D23">
        <w:trPr>
          <w:trHeight w:val="334"/>
        </w:trPr>
        <w:tc>
          <w:tcPr>
            <w:tcW w:w="3143" w:type="dxa"/>
            <w:vMerge/>
            <w:tcBorders>
              <w:top w:val="single" w:sz="4" w:space="0" w:color="7030A0"/>
              <w:left w:val="single" w:sz="4" w:space="0" w:color="7030A0"/>
              <w:bottom w:val="single" w:sz="4" w:space="0" w:color="7030A0"/>
              <w:right w:val="single" w:sz="4" w:space="0" w:color="FFFFFF" w:themeColor="background1"/>
            </w:tcBorders>
            <w:shd w:val="clear" w:color="auto" w:fill="auto"/>
            <w:noWrap/>
            <w:vAlign w:val="bottom"/>
            <w:hideMark/>
          </w:tcPr>
          <w:p w:rsidR="004824F7" w:rsidRPr="005C4E27" w:rsidRDefault="004824F7" w:rsidP="00816D23">
            <w:pPr>
              <w:spacing w:after="0" w:line="240" w:lineRule="auto"/>
              <w:rPr>
                <w:rFonts w:eastAsia="Times New Roman" w:cs="Arial"/>
                <w:color w:val="000000"/>
                <w:sz w:val="18"/>
                <w:szCs w:val="18"/>
                <w:lang w:eastAsia="en-AU"/>
              </w:rPr>
            </w:pPr>
          </w:p>
        </w:tc>
        <w:tc>
          <w:tcPr>
            <w:tcW w:w="1036" w:type="dxa"/>
            <w:vMerge/>
            <w:tcBorders>
              <w:top w:val="single" w:sz="4" w:space="0" w:color="FFFFFF" w:themeColor="background1"/>
              <w:left w:val="single" w:sz="4" w:space="0" w:color="FFFFFF" w:themeColor="background1"/>
              <w:bottom w:val="single" w:sz="4" w:space="0" w:color="7030A0"/>
              <w:right w:val="single" w:sz="4" w:space="0" w:color="FFFFFF" w:themeColor="background1"/>
            </w:tcBorders>
          </w:tcPr>
          <w:p w:rsidR="004824F7" w:rsidRPr="005C4E27" w:rsidRDefault="004824F7" w:rsidP="00816D23">
            <w:pPr>
              <w:spacing w:after="0" w:line="240" w:lineRule="auto"/>
              <w:jc w:val="center"/>
              <w:rPr>
                <w:rFonts w:eastAsia="Times New Roman" w:cs="Arial"/>
                <w:color w:val="000000"/>
                <w:sz w:val="18"/>
                <w:szCs w:val="18"/>
                <w:lang w:eastAsia="en-AU"/>
              </w:rPr>
            </w:pPr>
          </w:p>
        </w:tc>
        <w:tc>
          <w:tcPr>
            <w:tcW w:w="940"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4824F7" w:rsidRPr="005C4E27" w:rsidRDefault="004824F7" w:rsidP="00816D23">
            <w:pPr>
              <w:spacing w:after="0" w:line="240" w:lineRule="auto"/>
              <w:jc w:val="center"/>
              <w:rPr>
                <w:rFonts w:eastAsia="Times New Roman" w:cs="Arial"/>
                <w:b/>
                <w:color w:val="FFFFFF" w:themeColor="background1"/>
                <w:sz w:val="18"/>
                <w:szCs w:val="18"/>
                <w:lang w:eastAsia="en-AU"/>
              </w:rPr>
            </w:pPr>
            <w:r w:rsidRPr="005C4E27">
              <w:rPr>
                <w:rFonts w:eastAsia="Times New Roman" w:cs="Arial"/>
                <w:b/>
                <w:color w:val="FFFFFF" w:themeColor="background1"/>
                <w:sz w:val="18"/>
                <w:szCs w:val="18"/>
                <w:lang w:eastAsia="en-AU"/>
              </w:rPr>
              <w:t>No OOA</w:t>
            </w:r>
          </w:p>
        </w:tc>
        <w:tc>
          <w:tcPr>
            <w:tcW w:w="940"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4824F7" w:rsidRPr="005C4E27" w:rsidRDefault="004824F7" w:rsidP="00816D23">
            <w:pPr>
              <w:spacing w:after="0" w:line="240" w:lineRule="auto"/>
              <w:jc w:val="center"/>
              <w:rPr>
                <w:rFonts w:eastAsia="Times New Roman" w:cs="Arial"/>
                <w:b/>
                <w:color w:val="FFFFFF" w:themeColor="background1"/>
                <w:sz w:val="18"/>
                <w:szCs w:val="18"/>
                <w:lang w:eastAsia="en-AU"/>
              </w:rPr>
            </w:pPr>
            <w:r w:rsidRPr="005C4E27">
              <w:rPr>
                <w:rFonts w:eastAsia="Times New Roman" w:cs="Arial"/>
                <w:b/>
                <w:color w:val="FFFFFF" w:themeColor="background1"/>
                <w:sz w:val="18"/>
                <w:szCs w:val="18"/>
                <w:lang w:eastAsia="en-AU"/>
              </w:rPr>
              <w:t>With OOA</w:t>
            </w:r>
          </w:p>
        </w:tc>
        <w:tc>
          <w:tcPr>
            <w:tcW w:w="940"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4824F7" w:rsidRPr="005C4E27" w:rsidRDefault="004824F7" w:rsidP="00816D23">
            <w:pPr>
              <w:spacing w:after="0" w:line="240" w:lineRule="auto"/>
              <w:jc w:val="center"/>
              <w:rPr>
                <w:rFonts w:eastAsia="Times New Roman" w:cs="Arial"/>
                <w:b/>
                <w:color w:val="FFFFFF" w:themeColor="background1"/>
                <w:sz w:val="18"/>
                <w:szCs w:val="18"/>
                <w:lang w:eastAsia="en-AU"/>
              </w:rPr>
            </w:pPr>
            <w:r w:rsidRPr="005C4E27">
              <w:rPr>
                <w:rFonts w:eastAsia="Times New Roman" w:cs="Arial"/>
                <w:b/>
                <w:color w:val="FFFFFF" w:themeColor="background1"/>
                <w:sz w:val="18"/>
                <w:szCs w:val="18"/>
                <w:lang w:eastAsia="en-AU"/>
              </w:rPr>
              <w:t>No OOA</w:t>
            </w:r>
          </w:p>
        </w:tc>
        <w:tc>
          <w:tcPr>
            <w:tcW w:w="940"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4824F7" w:rsidRPr="005C4E27" w:rsidRDefault="004824F7" w:rsidP="00816D23">
            <w:pPr>
              <w:spacing w:after="0" w:line="240" w:lineRule="auto"/>
              <w:jc w:val="center"/>
              <w:rPr>
                <w:rFonts w:eastAsia="Times New Roman" w:cs="Arial"/>
                <w:b/>
                <w:color w:val="FFFFFF" w:themeColor="background1"/>
                <w:sz w:val="18"/>
                <w:szCs w:val="18"/>
                <w:lang w:eastAsia="en-AU"/>
              </w:rPr>
            </w:pPr>
            <w:r w:rsidRPr="005C4E27">
              <w:rPr>
                <w:rFonts w:eastAsia="Times New Roman" w:cs="Arial"/>
                <w:b/>
                <w:color w:val="FFFFFF" w:themeColor="background1"/>
                <w:sz w:val="18"/>
                <w:szCs w:val="18"/>
                <w:lang w:eastAsia="en-AU"/>
              </w:rPr>
              <w:t>With OOA</w:t>
            </w:r>
          </w:p>
        </w:tc>
        <w:tc>
          <w:tcPr>
            <w:tcW w:w="940"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4824F7" w:rsidRPr="005C4E27" w:rsidRDefault="004824F7" w:rsidP="00816D23">
            <w:pPr>
              <w:spacing w:after="0" w:line="240" w:lineRule="auto"/>
              <w:jc w:val="center"/>
              <w:rPr>
                <w:rFonts w:eastAsia="Times New Roman" w:cs="Arial"/>
                <w:b/>
                <w:color w:val="FFFFFF" w:themeColor="background1"/>
                <w:sz w:val="18"/>
                <w:szCs w:val="18"/>
                <w:lang w:eastAsia="en-AU"/>
              </w:rPr>
            </w:pPr>
            <w:r w:rsidRPr="005C4E27">
              <w:rPr>
                <w:rFonts w:eastAsia="Times New Roman" w:cs="Arial"/>
                <w:b/>
                <w:color w:val="FFFFFF" w:themeColor="background1"/>
                <w:sz w:val="18"/>
                <w:szCs w:val="18"/>
                <w:lang w:eastAsia="en-AU"/>
              </w:rPr>
              <w:t>No OOA</w:t>
            </w:r>
          </w:p>
        </w:tc>
        <w:tc>
          <w:tcPr>
            <w:tcW w:w="940"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4824F7" w:rsidRPr="005C4E27" w:rsidRDefault="004824F7" w:rsidP="00816D23">
            <w:pPr>
              <w:spacing w:after="0" w:line="240" w:lineRule="auto"/>
              <w:jc w:val="center"/>
              <w:rPr>
                <w:rFonts w:eastAsia="Times New Roman" w:cs="Arial"/>
                <w:b/>
                <w:color w:val="FFFFFF" w:themeColor="background1"/>
                <w:sz w:val="18"/>
                <w:szCs w:val="18"/>
                <w:lang w:eastAsia="en-AU"/>
              </w:rPr>
            </w:pPr>
            <w:r w:rsidRPr="005C4E27">
              <w:rPr>
                <w:rFonts w:eastAsia="Times New Roman" w:cs="Arial"/>
                <w:b/>
                <w:color w:val="FFFFFF" w:themeColor="background1"/>
                <w:sz w:val="18"/>
                <w:szCs w:val="18"/>
                <w:lang w:eastAsia="en-AU"/>
              </w:rPr>
              <w:t>With OOA</w:t>
            </w:r>
          </w:p>
        </w:tc>
        <w:tc>
          <w:tcPr>
            <w:tcW w:w="938"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4824F7" w:rsidRPr="005C4E27" w:rsidRDefault="004824F7" w:rsidP="00816D23">
            <w:pPr>
              <w:spacing w:after="0" w:line="240" w:lineRule="auto"/>
              <w:jc w:val="center"/>
              <w:rPr>
                <w:rFonts w:eastAsia="Times New Roman" w:cs="Arial"/>
                <w:b/>
                <w:color w:val="FFFFFF" w:themeColor="background1"/>
                <w:sz w:val="18"/>
                <w:szCs w:val="18"/>
                <w:lang w:eastAsia="en-AU"/>
              </w:rPr>
            </w:pPr>
            <w:r w:rsidRPr="005C4E27">
              <w:rPr>
                <w:rFonts w:eastAsia="Times New Roman" w:cs="Arial"/>
                <w:b/>
                <w:color w:val="FFFFFF" w:themeColor="background1"/>
                <w:sz w:val="18"/>
                <w:szCs w:val="18"/>
                <w:lang w:eastAsia="en-AU"/>
              </w:rPr>
              <w:t>+1 Room</w:t>
            </w:r>
          </w:p>
        </w:tc>
        <w:tc>
          <w:tcPr>
            <w:tcW w:w="940"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4824F7" w:rsidRPr="005C4E27" w:rsidRDefault="004824F7" w:rsidP="00816D23">
            <w:pPr>
              <w:spacing w:after="0" w:line="240" w:lineRule="auto"/>
              <w:jc w:val="center"/>
              <w:rPr>
                <w:rFonts w:eastAsia="Times New Roman" w:cs="Arial"/>
                <w:b/>
                <w:color w:val="FFFFFF" w:themeColor="background1"/>
                <w:sz w:val="18"/>
                <w:szCs w:val="18"/>
                <w:lang w:eastAsia="en-AU"/>
              </w:rPr>
            </w:pPr>
            <w:r w:rsidRPr="005C4E27">
              <w:rPr>
                <w:rFonts w:eastAsia="Times New Roman" w:cs="Arial"/>
                <w:b/>
                <w:color w:val="FFFFFF" w:themeColor="background1"/>
                <w:sz w:val="18"/>
                <w:szCs w:val="18"/>
                <w:lang w:eastAsia="en-AU"/>
              </w:rPr>
              <w:t>No OOA</w:t>
            </w:r>
          </w:p>
        </w:tc>
        <w:tc>
          <w:tcPr>
            <w:tcW w:w="950"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4824F7" w:rsidRPr="005C4E27" w:rsidRDefault="004824F7" w:rsidP="00816D23">
            <w:pPr>
              <w:spacing w:after="0" w:line="240" w:lineRule="auto"/>
              <w:jc w:val="center"/>
              <w:rPr>
                <w:rFonts w:eastAsia="Times New Roman" w:cs="Arial"/>
                <w:b/>
                <w:color w:val="FFFFFF" w:themeColor="background1"/>
                <w:sz w:val="18"/>
                <w:szCs w:val="18"/>
                <w:lang w:eastAsia="en-AU"/>
              </w:rPr>
            </w:pPr>
            <w:r w:rsidRPr="005C4E27">
              <w:rPr>
                <w:rFonts w:eastAsia="Times New Roman" w:cs="Arial"/>
                <w:b/>
                <w:color w:val="FFFFFF" w:themeColor="background1"/>
                <w:sz w:val="18"/>
                <w:szCs w:val="18"/>
                <w:lang w:eastAsia="en-AU"/>
              </w:rPr>
              <w:t>With OOA</w:t>
            </w:r>
          </w:p>
        </w:tc>
        <w:tc>
          <w:tcPr>
            <w:tcW w:w="1229" w:type="dxa"/>
            <w:vMerge/>
            <w:tcBorders>
              <w:top w:val="single" w:sz="4" w:space="0" w:color="FFFFFF" w:themeColor="background1"/>
              <w:left w:val="single" w:sz="4" w:space="0" w:color="FFFFFF" w:themeColor="background1"/>
              <w:bottom w:val="single" w:sz="4" w:space="0" w:color="7030A0"/>
              <w:right w:val="single" w:sz="4" w:space="0" w:color="7030A0"/>
            </w:tcBorders>
            <w:shd w:val="clear" w:color="auto" w:fill="7030A0"/>
            <w:noWrap/>
            <w:vAlign w:val="bottom"/>
            <w:hideMark/>
          </w:tcPr>
          <w:p w:rsidR="004824F7" w:rsidRPr="005C4E27" w:rsidRDefault="004824F7" w:rsidP="00816D23">
            <w:pPr>
              <w:spacing w:after="0" w:line="240" w:lineRule="auto"/>
              <w:rPr>
                <w:rFonts w:eastAsia="Times New Roman" w:cs="Arial"/>
                <w:color w:val="FFFFFF" w:themeColor="background1"/>
                <w:sz w:val="18"/>
                <w:szCs w:val="18"/>
                <w:lang w:eastAsia="en-AU"/>
              </w:rPr>
            </w:pPr>
          </w:p>
        </w:tc>
      </w:tr>
      <w:tr w:rsidR="004824F7" w:rsidRPr="005C4E27" w:rsidTr="00816D23">
        <w:trPr>
          <w:trHeight w:val="334"/>
        </w:trPr>
        <w:tc>
          <w:tcPr>
            <w:tcW w:w="3143" w:type="dxa"/>
            <w:tcBorders>
              <w:top w:val="single" w:sz="4" w:space="0" w:color="7030A0"/>
              <w:left w:val="single" w:sz="4" w:space="0" w:color="7030A0"/>
              <w:bottom w:val="single" w:sz="4" w:space="0" w:color="7030A0"/>
            </w:tcBorders>
            <w:shd w:val="clear" w:color="auto" w:fill="auto"/>
            <w:noWrap/>
            <w:vAlign w:val="center"/>
          </w:tcPr>
          <w:p w:rsidR="004824F7" w:rsidRPr="007B7D09" w:rsidRDefault="004824F7" w:rsidP="00816D23">
            <w:pPr>
              <w:spacing w:after="0" w:line="240" w:lineRule="auto"/>
              <w:rPr>
                <w:rFonts w:eastAsia="Times New Roman" w:cs="Arial"/>
                <w:color w:val="000000"/>
                <w:sz w:val="18"/>
                <w:szCs w:val="18"/>
                <w:lang w:eastAsia="en-AU"/>
              </w:rPr>
            </w:pPr>
            <w:r w:rsidRPr="007B7D09">
              <w:rPr>
                <w:rFonts w:eastAsia="Times New Roman" w:cs="Arial"/>
                <w:color w:val="000000"/>
                <w:sz w:val="18"/>
                <w:szCs w:val="18"/>
                <w:lang w:eastAsia="en-AU"/>
              </w:rPr>
              <w:t>Apartment, 1 bedroom, 1 resident</w:t>
            </w:r>
          </w:p>
        </w:tc>
        <w:tc>
          <w:tcPr>
            <w:tcW w:w="1036" w:type="dxa"/>
            <w:tcBorders>
              <w:top w:val="single" w:sz="4" w:space="0" w:color="7030A0"/>
              <w:bottom w:val="single" w:sz="4" w:space="0" w:color="7030A0"/>
            </w:tcBorders>
          </w:tcPr>
          <w:p w:rsidR="004824F7" w:rsidRPr="004C01F6" w:rsidRDefault="004824F7" w:rsidP="00816D23">
            <w:pPr>
              <w:spacing w:after="0"/>
              <w:jc w:val="center"/>
              <w:rPr>
                <w:rFonts w:cs="Arial"/>
                <w:sz w:val="18"/>
                <w:szCs w:val="18"/>
              </w:rPr>
            </w:pPr>
            <w:r w:rsidRPr="004C01F6">
              <w:rPr>
                <w:rFonts w:cs="Arial"/>
                <w:sz w:val="18"/>
                <w:szCs w:val="18"/>
              </w:rPr>
              <w:t>na</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$33,784</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$39,415</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$47,884</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$55,865</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na</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na</w:t>
            </w:r>
          </w:p>
        </w:tc>
        <w:tc>
          <w:tcPr>
            <w:tcW w:w="938"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na</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$72,353</w:t>
            </w:r>
          </w:p>
        </w:tc>
        <w:tc>
          <w:tcPr>
            <w:tcW w:w="95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$84,412</w:t>
            </w:r>
          </w:p>
        </w:tc>
        <w:tc>
          <w:tcPr>
            <w:tcW w:w="1229" w:type="dxa"/>
            <w:vMerge w:val="restart"/>
            <w:tcBorders>
              <w:top w:val="single" w:sz="4" w:space="0" w:color="7030A0"/>
              <w:bottom w:val="single" w:sz="4" w:space="0" w:color="7030A0"/>
              <w:right w:val="single" w:sz="4" w:space="0" w:color="7030A0"/>
            </w:tcBorders>
            <w:shd w:val="clear" w:color="auto" w:fill="auto"/>
            <w:vAlign w:val="center"/>
          </w:tcPr>
          <w:p w:rsidR="004824F7" w:rsidRPr="00DA1F62" w:rsidRDefault="004824F7" w:rsidP="00864710">
            <w:pPr>
              <w:spacing w:after="0" w:line="240" w:lineRule="auto"/>
              <w:jc w:val="center"/>
              <w:rPr>
                <w:rFonts w:eastAsia="Times New Roman" w:cs="Arial"/>
                <w:color w:val="000000"/>
                <w:sz w:val="18"/>
                <w:szCs w:val="18"/>
                <w:lang w:eastAsia="en-AU"/>
              </w:rPr>
            </w:pPr>
            <w:r w:rsidRPr="004C01F6">
              <w:rPr>
                <w:rFonts w:eastAsia="Times New Roman" w:cs="Arial"/>
                <w:color w:val="000000"/>
                <w:sz w:val="18"/>
                <w:szCs w:val="18"/>
                <w:lang w:eastAsia="en-AU"/>
              </w:rPr>
              <w:t>Funded as trials</w:t>
            </w:r>
            <w:r w:rsidRPr="00DA1F62">
              <w:rPr>
                <w:rFonts w:eastAsia="Times New Roman" w:cs="Arial"/>
                <w:color w:val="000000"/>
                <w:sz w:val="18"/>
                <w:szCs w:val="18"/>
                <w:lang w:eastAsia="en-AU"/>
              </w:rPr>
              <w:t xml:space="preserve"> and/or new </w:t>
            </w:r>
            <w:r w:rsidR="00864710">
              <w:rPr>
                <w:rFonts w:eastAsia="Times New Roman" w:cs="Arial"/>
                <w:color w:val="000000"/>
                <w:sz w:val="18"/>
                <w:szCs w:val="18"/>
                <w:lang w:eastAsia="en-AU"/>
              </w:rPr>
              <w:t>D</w:t>
            </w:r>
            <w:r w:rsidRPr="00DA1F62">
              <w:rPr>
                <w:rFonts w:eastAsia="Times New Roman" w:cs="Arial"/>
                <w:color w:val="000000"/>
                <w:sz w:val="18"/>
                <w:szCs w:val="18"/>
                <w:lang w:eastAsia="en-AU"/>
              </w:rPr>
              <w:t xml:space="preserve">esign </w:t>
            </w:r>
            <w:r w:rsidR="00864710">
              <w:rPr>
                <w:rFonts w:eastAsia="Times New Roman" w:cs="Arial"/>
                <w:color w:val="000000"/>
                <w:sz w:val="18"/>
                <w:szCs w:val="18"/>
                <w:lang w:eastAsia="en-AU"/>
              </w:rPr>
              <w:t>C</w:t>
            </w:r>
            <w:r w:rsidRPr="00DA1F62">
              <w:rPr>
                <w:rFonts w:eastAsia="Times New Roman" w:cs="Arial"/>
                <w:color w:val="000000"/>
                <w:sz w:val="18"/>
                <w:szCs w:val="18"/>
                <w:lang w:eastAsia="en-AU"/>
              </w:rPr>
              <w:t xml:space="preserve">ategories added over time. </w:t>
            </w:r>
          </w:p>
        </w:tc>
      </w:tr>
      <w:tr w:rsidR="004824F7" w:rsidRPr="005C4E27" w:rsidTr="00816D23">
        <w:trPr>
          <w:trHeight w:val="334"/>
        </w:trPr>
        <w:tc>
          <w:tcPr>
            <w:tcW w:w="3143" w:type="dxa"/>
            <w:tcBorders>
              <w:top w:val="single" w:sz="4" w:space="0" w:color="7030A0"/>
              <w:left w:val="single" w:sz="4" w:space="0" w:color="7030A0"/>
              <w:bottom w:val="single" w:sz="4" w:space="0" w:color="7030A0"/>
            </w:tcBorders>
            <w:shd w:val="clear" w:color="auto" w:fill="auto"/>
            <w:noWrap/>
            <w:vAlign w:val="center"/>
            <w:hideMark/>
          </w:tcPr>
          <w:p w:rsidR="004824F7" w:rsidRPr="007B7D09" w:rsidRDefault="004824F7" w:rsidP="00816D23">
            <w:pPr>
              <w:spacing w:after="0" w:line="240" w:lineRule="auto"/>
              <w:rPr>
                <w:rFonts w:eastAsia="Times New Roman" w:cs="Arial"/>
                <w:color w:val="000000"/>
                <w:sz w:val="18"/>
                <w:szCs w:val="18"/>
                <w:lang w:eastAsia="en-AU"/>
              </w:rPr>
            </w:pPr>
            <w:r w:rsidRPr="007B7D09">
              <w:rPr>
                <w:rFonts w:eastAsia="Times New Roman" w:cs="Arial"/>
                <w:color w:val="000000"/>
                <w:sz w:val="18"/>
                <w:szCs w:val="18"/>
                <w:lang w:eastAsia="en-AU"/>
              </w:rPr>
              <w:t>Apartment, 2 bedrooms, 1 resident</w:t>
            </w:r>
          </w:p>
        </w:tc>
        <w:tc>
          <w:tcPr>
            <w:tcW w:w="1036" w:type="dxa"/>
            <w:tcBorders>
              <w:top w:val="single" w:sz="4" w:space="0" w:color="7030A0"/>
              <w:bottom w:val="single" w:sz="4" w:space="0" w:color="7030A0"/>
            </w:tcBorders>
          </w:tcPr>
          <w:p w:rsidR="004824F7" w:rsidRPr="004C01F6" w:rsidRDefault="004824F7" w:rsidP="00816D23">
            <w:pPr>
              <w:spacing w:after="0"/>
              <w:jc w:val="center"/>
              <w:rPr>
                <w:rFonts w:cs="Arial"/>
                <w:sz w:val="18"/>
                <w:szCs w:val="18"/>
              </w:rPr>
            </w:pPr>
            <w:r w:rsidRPr="004C01F6">
              <w:rPr>
                <w:rFonts w:cs="Arial"/>
                <w:sz w:val="18"/>
                <w:szCs w:val="18"/>
              </w:rPr>
              <w:t>na</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$40,222</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$46,926</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$58,139</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$67,829</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na</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na</w:t>
            </w:r>
          </w:p>
        </w:tc>
        <w:tc>
          <w:tcPr>
            <w:tcW w:w="938"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na</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$90,026</w:t>
            </w:r>
          </w:p>
        </w:tc>
        <w:tc>
          <w:tcPr>
            <w:tcW w:w="95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$105,030</w:t>
            </w:r>
          </w:p>
        </w:tc>
        <w:tc>
          <w:tcPr>
            <w:tcW w:w="1229" w:type="dxa"/>
            <w:vMerge/>
            <w:tcBorders>
              <w:top w:val="single" w:sz="4" w:space="0" w:color="7030A0"/>
              <w:bottom w:val="single" w:sz="4" w:space="0" w:color="7030A0"/>
              <w:right w:val="single" w:sz="4" w:space="0" w:color="7030A0"/>
            </w:tcBorders>
            <w:shd w:val="clear" w:color="auto" w:fill="auto"/>
            <w:vAlign w:val="center"/>
            <w:hideMark/>
          </w:tcPr>
          <w:p w:rsidR="004824F7" w:rsidRPr="005C4E27" w:rsidRDefault="004824F7" w:rsidP="00816D23">
            <w:pPr>
              <w:spacing w:after="0" w:line="240" w:lineRule="auto"/>
              <w:jc w:val="center"/>
              <w:rPr>
                <w:rFonts w:asciiTheme="minorHAnsi" w:eastAsia="Times New Roman" w:hAnsiTheme="minorHAnsi" w:cs="Times New Roman"/>
                <w:color w:val="000000"/>
                <w:sz w:val="20"/>
                <w:szCs w:val="20"/>
                <w:lang w:eastAsia="en-AU"/>
              </w:rPr>
            </w:pPr>
          </w:p>
        </w:tc>
      </w:tr>
      <w:tr w:rsidR="002B3182" w:rsidRPr="005C4E27" w:rsidTr="00710D25">
        <w:trPr>
          <w:trHeight w:val="334"/>
        </w:trPr>
        <w:tc>
          <w:tcPr>
            <w:tcW w:w="3143" w:type="dxa"/>
            <w:tcBorders>
              <w:top w:val="single" w:sz="4" w:space="0" w:color="7030A0"/>
              <w:left w:val="single" w:sz="4" w:space="0" w:color="7030A0"/>
              <w:bottom w:val="single" w:sz="4" w:space="0" w:color="7030A0"/>
            </w:tcBorders>
            <w:shd w:val="clear" w:color="auto" w:fill="auto"/>
            <w:noWrap/>
            <w:vAlign w:val="bottom"/>
          </w:tcPr>
          <w:p w:rsidR="002B3182" w:rsidRPr="007B7D09" w:rsidRDefault="002B3182" w:rsidP="002B3182">
            <w:pPr>
              <w:spacing w:after="0" w:line="240" w:lineRule="auto"/>
              <w:rPr>
                <w:rFonts w:eastAsia="Times New Roman" w:cs="Arial"/>
                <w:color w:val="000000"/>
                <w:sz w:val="18"/>
                <w:szCs w:val="18"/>
                <w:lang w:eastAsia="en-AU"/>
              </w:rPr>
            </w:pPr>
            <w:r>
              <w:rPr>
                <w:color w:val="000000"/>
                <w:sz w:val="18"/>
                <w:szCs w:val="18"/>
                <w:lang w:eastAsia="en-AU"/>
              </w:rPr>
              <w:t>Apartment, 2 bedrooms, 2 residents</w:t>
            </w:r>
          </w:p>
        </w:tc>
        <w:tc>
          <w:tcPr>
            <w:tcW w:w="1036" w:type="dxa"/>
            <w:tcBorders>
              <w:top w:val="single" w:sz="4" w:space="0" w:color="7030A0"/>
              <w:bottom w:val="single" w:sz="4" w:space="0" w:color="7030A0"/>
            </w:tcBorders>
            <w:vAlign w:val="bottom"/>
          </w:tcPr>
          <w:p w:rsidR="002B3182" w:rsidRPr="004C01F6" w:rsidRDefault="002B3182" w:rsidP="002B3182">
            <w:pPr>
              <w:spacing w:after="0"/>
              <w:jc w:val="center"/>
              <w:rPr>
                <w:rFonts w:cs="Arial"/>
                <w:sz w:val="18"/>
                <w:szCs w:val="18"/>
              </w:rPr>
            </w:pPr>
            <w:r>
              <w:rPr>
                <w:color w:val="000000"/>
                <w:sz w:val="18"/>
                <w:szCs w:val="18"/>
                <w:lang w:eastAsia="en-AU"/>
              </w:rPr>
              <w:t xml:space="preserve">na </w:t>
            </w:r>
          </w:p>
        </w:tc>
        <w:tc>
          <w:tcPr>
            <w:tcW w:w="940" w:type="dxa"/>
            <w:tcBorders>
              <w:top w:val="single" w:sz="4" w:space="0" w:color="7030A0"/>
              <w:bottom w:val="single" w:sz="4" w:space="0" w:color="7030A0"/>
            </w:tcBorders>
            <w:shd w:val="clear" w:color="auto" w:fill="auto"/>
            <w:noWrap/>
            <w:vAlign w:val="bottom"/>
          </w:tcPr>
          <w:p w:rsidR="002B3182" w:rsidRPr="0015637B" w:rsidRDefault="002B3182" w:rsidP="002B3182">
            <w:pPr>
              <w:spacing w:after="0"/>
              <w:jc w:val="center"/>
              <w:rPr>
                <w:rFonts w:cs="Arial"/>
                <w:sz w:val="18"/>
                <w:szCs w:val="18"/>
              </w:rPr>
            </w:pPr>
            <w:r>
              <w:rPr>
                <w:color w:val="000000"/>
                <w:sz w:val="18"/>
                <w:szCs w:val="18"/>
                <w:lang w:eastAsia="en-AU"/>
              </w:rPr>
              <w:t xml:space="preserve">$15,714 </w:t>
            </w:r>
          </w:p>
        </w:tc>
        <w:tc>
          <w:tcPr>
            <w:tcW w:w="940" w:type="dxa"/>
            <w:tcBorders>
              <w:top w:val="single" w:sz="4" w:space="0" w:color="7030A0"/>
              <w:bottom w:val="single" w:sz="4" w:space="0" w:color="7030A0"/>
            </w:tcBorders>
            <w:shd w:val="clear" w:color="auto" w:fill="auto"/>
            <w:noWrap/>
            <w:vAlign w:val="bottom"/>
          </w:tcPr>
          <w:p w:rsidR="002B3182" w:rsidRPr="0015637B" w:rsidRDefault="002B3182" w:rsidP="002B3182">
            <w:pPr>
              <w:spacing w:after="0"/>
              <w:jc w:val="center"/>
              <w:rPr>
                <w:rFonts w:cs="Arial"/>
                <w:sz w:val="18"/>
                <w:szCs w:val="18"/>
              </w:rPr>
            </w:pPr>
            <w:r>
              <w:rPr>
                <w:color w:val="000000"/>
                <w:sz w:val="18"/>
                <w:szCs w:val="18"/>
                <w:lang w:eastAsia="en-AU"/>
              </w:rPr>
              <w:t xml:space="preserve">$18,333 </w:t>
            </w:r>
          </w:p>
        </w:tc>
        <w:tc>
          <w:tcPr>
            <w:tcW w:w="940" w:type="dxa"/>
            <w:tcBorders>
              <w:top w:val="single" w:sz="4" w:space="0" w:color="7030A0"/>
              <w:bottom w:val="single" w:sz="4" w:space="0" w:color="7030A0"/>
            </w:tcBorders>
            <w:shd w:val="clear" w:color="auto" w:fill="auto"/>
            <w:noWrap/>
            <w:vAlign w:val="bottom"/>
          </w:tcPr>
          <w:p w:rsidR="002B3182" w:rsidRPr="0015637B" w:rsidRDefault="002B3182" w:rsidP="002B3182">
            <w:pPr>
              <w:spacing w:after="0"/>
              <w:jc w:val="center"/>
              <w:rPr>
                <w:rFonts w:cs="Arial"/>
                <w:sz w:val="18"/>
                <w:szCs w:val="18"/>
              </w:rPr>
            </w:pPr>
            <w:r>
              <w:rPr>
                <w:color w:val="000000"/>
                <w:sz w:val="18"/>
                <w:szCs w:val="18"/>
                <w:lang w:eastAsia="en-AU"/>
              </w:rPr>
              <w:t xml:space="preserve">$24,672 </w:t>
            </w:r>
          </w:p>
        </w:tc>
        <w:tc>
          <w:tcPr>
            <w:tcW w:w="940" w:type="dxa"/>
            <w:tcBorders>
              <w:top w:val="single" w:sz="4" w:space="0" w:color="7030A0"/>
              <w:bottom w:val="single" w:sz="4" w:space="0" w:color="7030A0"/>
            </w:tcBorders>
            <w:shd w:val="clear" w:color="auto" w:fill="auto"/>
            <w:noWrap/>
            <w:vAlign w:val="bottom"/>
          </w:tcPr>
          <w:p w:rsidR="002B3182" w:rsidRPr="0015637B" w:rsidRDefault="002B3182" w:rsidP="002B3182">
            <w:pPr>
              <w:spacing w:after="0"/>
              <w:jc w:val="center"/>
              <w:rPr>
                <w:rFonts w:cs="Arial"/>
                <w:sz w:val="18"/>
                <w:szCs w:val="18"/>
              </w:rPr>
            </w:pPr>
            <w:r>
              <w:rPr>
                <w:color w:val="000000"/>
                <w:sz w:val="18"/>
                <w:szCs w:val="18"/>
                <w:lang w:eastAsia="en-AU"/>
              </w:rPr>
              <w:t xml:space="preserve">$28,785 </w:t>
            </w:r>
          </w:p>
        </w:tc>
        <w:tc>
          <w:tcPr>
            <w:tcW w:w="940" w:type="dxa"/>
            <w:tcBorders>
              <w:top w:val="single" w:sz="4" w:space="0" w:color="7030A0"/>
              <w:bottom w:val="single" w:sz="4" w:space="0" w:color="7030A0"/>
            </w:tcBorders>
            <w:shd w:val="clear" w:color="auto" w:fill="auto"/>
            <w:noWrap/>
            <w:vAlign w:val="bottom"/>
          </w:tcPr>
          <w:p w:rsidR="002B3182" w:rsidRPr="0015637B" w:rsidRDefault="002B3182" w:rsidP="002B3182">
            <w:pPr>
              <w:spacing w:after="0"/>
              <w:jc w:val="center"/>
              <w:rPr>
                <w:rFonts w:cs="Arial"/>
                <w:sz w:val="18"/>
                <w:szCs w:val="18"/>
              </w:rPr>
            </w:pPr>
            <w:r>
              <w:rPr>
                <w:color w:val="305496"/>
                <w:sz w:val="18"/>
                <w:szCs w:val="18"/>
                <w:lang w:eastAsia="en-AU"/>
              </w:rPr>
              <w:t>na</w:t>
            </w:r>
          </w:p>
        </w:tc>
        <w:tc>
          <w:tcPr>
            <w:tcW w:w="940" w:type="dxa"/>
            <w:tcBorders>
              <w:top w:val="single" w:sz="4" w:space="0" w:color="7030A0"/>
              <w:bottom w:val="single" w:sz="4" w:space="0" w:color="7030A0"/>
            </w:tcBorders>
            <w:shd w:val="clear" w:color="auto" w:fill="auto"/>
            <w:noWrap/>
            <w:vAlign w:val="bottom"/>
          </w:tcPr>
          <w:p w:rsidR="002B3182" w:rsidRPr="0015637B" w:rsidRDefault="002B3182" w:rsidP="002B3182">
            <w:pPr>
              <w:spacing w:after="0"/>
              <w:jc w:val="center"/>
              <w:rPr>
                <w:rFonts w:cs="Arial"/>
                <w:sz w:val="18"/>
                <w:szCs w:val="18"/>
              </w:rPr>
            </w:pPr>
            <w:r>
              <w:rPr>
                <w:color w:val="305496"/>
                <w:sz w:val="18"/>
                <w:szCs w:val="18"/>
                <w:lang w:eastAsia="en-AU"/>
              </w:rPr>
              <w:t>na</w:t>
            </w:r>
          </w:p>
        </w:tc>
        <w:tc>
          <w:tcPr>
            <w:tcW w:w="938" w:type="dxa"/>
            <w:tcBorders>
              <w:top w:val="single" w:sz="4" w:space="0" w:color="7030A0"/>
              <w:bottom w:val="single" w:sz="4" w:space="0" w:color="7030A0"/>
            </w:tcBorders>
            <w:shd w:val="clear" w:color="auto" w:fill="auto"/>
            <w:noWrap/>
            <w:vAlign w:val="bottom"/>
          </w:tcPr>
          <w:p w:rsidR="002B3182" w:rsidRPr="0015637B" w:rsidRDefault="002B3182" w:rsidP="002B3182">
            <w:pPr>
              <w:spacing w:after="0"/>
              <w:jc w:val="center"/>
              <w:rPr>
                <w:rFonts w:cs="Arial"/>
                <w:sz w:val="18"/>
                <w:szCs w:val="18"/>
              </w:rPr>
            </w:pPr>
            <w:r>
              <w:rPr>
                <w:color w:val="305496"/>
                <w:sz w:val="18"/>
                <w:szCs w:val="18"/>
                <w:lang w:eastAsia="en-AU"/>
              </w:rPr>
              <w:t>na</w:t>
            </w:r>
          </w:p>
        </w:tc>
        <w:tc>
          <w:tcPr>
            <w:tcW w:w="940" w:type="dxa"/>
            <w:tcBorders>
              <w:top w:val="single" w:sz="4" w:space="0" w:color="7030A0"/>
              <w:bottom w:val="single" w:sz="4" w:space="0" w:color="7030A0"/>
            </w:tcBorders>
            <w:shd w:val="clear" w:color="auto" w:fill="auto"/>
            <w:noWrap/>
            <w:vAlign w:val="bottom"/>
          </w:tcPr>
          <w:p w:rsidR="002B3182" w:rsidRPr="0015637B" w:rsidRDefault="002B3182" w:rsidP="002B3182">
            <w:pPr>
              <w:spacing w:after="0"/>
              <w:jc w:val="center"/>
              <w:rPr>
                <w:rFonts w:cs="Arial"/>
                <w:sz w:val="18"/>
                <w:szCs w:val="18"/>
              </w:rPr>
            </w:pPr>
            <w:r>
              <w:rPr>
                <w:color w:val="000000"/>
                <w:sz w:val="18"/>
                <w:szCs w:val="18"/>
                <w:lang w:eastAsia="en-AU"/>
              </w:rPr>
              <w:t xml:space="preserve">$40,616 </w:t>
            </w:r>
          </w:p>
        </w:tc>
        <w:tc>
          <w:tcPr>
            <w:tcW w:w="950" w:type="dxa"/>
            <w:tcBorders>
              <w:top w:val="single" w:sz="4" w:space="0" w:color="7030A0"/>
              <w:bottom w:val="single" w:sz="4" w:space="0" w:color="7030A0"/>
            </w:tcBorders>
            <w:shd w:val="clear" w:color="auto" w:fill="auto"/>
            <w:noWrap/>
            <w:vAlign w:val="bottom"/>
          </w:tcPr>
          <w:p w:rsidR="002B3182" w:rsidRPr="0015637B" w:rsidRDefault="002B3182" w:rsidP="002B3182">
            <w:pPr>
              <w:spacing w:after="0"/>
              <w:jc w:val="center"/>
              <w:rPr>
                <w:rFonts w:cs="Arial"/>
                <w:sz w:val="18"/>
                <w:szCs w:val="18"/>
              </w:rPr>
            </w:pPr>
            <w:r>
              <w:rPr>
                <w:color w:val="000000"/>
                <w:sz w:val="18"/>
                <w:szCs w:val="18"/>
                <w:lang w:eastAsia="en-AU"/>
              </w:rPr>
              <w:t xml:space="preserve">$47,385 </w:t>
            </w:r>
          </w:p>
        </w:tc>
        <w:tc>
          <w:tcPr>
            <w:tcW w:w="1229" w:type="dxa"/>
            <w:vMerge/>
            <w:tcBorders>
              <w:top w:val="single" w:sz="4" w:space="0" w:color="7030A0"/>
              <w:bottom w:val="single" w:sz="4" w:space="0" w:color="7030A0"/>
              <w:right w:val="single" w:sz="4" w:space="0" w:color="7030A0"/>
            </w:tcBorders>
            <w:shd w:val="clear" w:color="auto" w:fill="auto"/>
            <w:vAlign w:val="center"/>
          </w:tcPr>
          <w:p w:rsidR="002B3182" w:rsidRPr="005C4E27" w:rsidRDefault="002B3182" w:rsidP="002B3182">
            <w:pPr>
              <w:spacing w:after="0" w:line="240" w:lineRule="auto"/>
              <w:jc w:val="center"/>
              <w:rPr>
                <w:rFonts w:asciiTheme="minorHAnsi" w:eastAsia="Times New Roman" w:hAnsiTheme="minorHAnsi" w:cs="Times New Roman"/>
                <w:color w:val="000000"/>
                <w:sz w:val="20"/>
                <w:szCs w:val="20"/>
                <w:lang w:eastAsia="en-AU"/>
              </w:rPr>
            </w:pPr>
          </w:p>
        </w:tc>
      </w:tr>
      <w:tr w:rsidR="004824F7" w:rsidRPr="005C4E27" w:rsidTr="00816D23">
        <w:trPr>
          <w:trHeight w:val="334"/>
        </w:trPr>
        <w:tc>
          <w:tcPr>
            <w:tcW w:w="3143" w:type="dxa"/>
            <w:tcBorders>
              <w:top w:val="single" w:sz="4" w:space="0" w:color="7030A0"/>
              <w:left w:val="single" w:sz="4" w:space="0" w:color="7030A0"/>
              <w:bottom w:val="single" w:sz="4" w:space="0" w:color="7030A0"/>
            </w:tcBorders>
            <w:shd w:val="clear" w:color="auto" w:fill="auto"/>
            <w:noWrap/>
            <w:vAlign w:val="center"/>
          </w:tcPr>
          <w:p w:rsidR="004824F7" w:rsidRPr="007B7D09" w:rsidRDefault="004824F7" w:rsidP="00816D23">
            <w:pPr>
              <w:spacing w:after="0" w:line="240" w:lineRule="auto"/>
              <w:rPr>
                <w:rFonts w:eastAsia="Times New Roman" w:cs="Arial"/>
                <w:color w:val="000000"/>
                <w:sz w:val="18"/>
                <w:szCs w:val="18"/>
                <w:lang w:eastAsia="en-AU"/>
              </w:rPr>
            </w:pPr>
            <w:r w:rsidRPr="007B7D09">
              <w:rPr>
                <w:rFonts w:eastAsia="Times New Roman" w:cs="Arial"/>
                <w:color w:val="000000"/>
                <w:sz w:val="18"/>
                <w:szCs w:val="18"/>
                <w:lang w:eastAsia="en-AU"/>
              </w:rPr>
              <w:t>Apartment, 3 bedrooms, 2 residents</w:t>
            </w:r>
          </w:p>
        </w:tc>
        <w:tc>
          <w:tcPr>
            <w:tcW w:w="1036" w:type="dxa"/>
            <w:tcBorders>
              <w:top w:val="single" w:sz="4" w:space="0" w:color="7030A0"/>
              <w:bottom w:val="single" w:sz="4" w:space="0" w:color="7030A0"/>
            </w:tcBorders>
          </w:tcPr>
          <w:p w:rsidR="004824F7" w:rsidRPr="004C01F6" w:rsidRDefault="004824F7" w:rsidP="00816D23">
            <w:pPr>
              <w:spacing w:after="0"/>
              <w:jc w:val="center"/>
              <w:rPr>
                <w:rFonts w:cs="Arial"/>
                <w:sz w:val="18"/>
                <w:szCs w:val="18"/>
              </w:rPr>
            </w:pPr>
            <w:r w:rsidRPr="004C01F6">
              <w:rPr>
                <w:rFonts w:cs="Arial"/>
                <w:sz w:val="18"/>
                <w:szCs w:val="18"/>
              </w:rPr>
              <w:t>na</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$20,996</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$24,496</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$32,882</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$38,362</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na</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na</w:t>
            </w:r>
          </w:p>
        </w:tc>
        <w:tc>
          <w:tcPr>
            <w:tcW w:w="938"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na</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$55,050</w:t>
            </w:r>
          </w:p>
        </w:tc>
        <w:tc>
          <w:tcPr>
            <w:tcW w:w="95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$64,225</w:t>
            </w:r>
          </w:p>
        </w:tc>
        <w:tc>
          <w:tcPr>
            <w:tcW w:w="1229" w:type="dxa"/>
            <w:vMerge/>
            <w:tcBorders>
              <w:top w:val="single" w:sz="4" w:space="0" w:color="7030A0"/>
              <w:bottom w:val="single" w:sz="4" w:space="0" w:color="7030A0"/>
              <w:right w:val="single" w:sz="4" w:space="0" w:color="7030A0"/>
            </w:tcBorders>
            <w:shd w:val="clear" w:color="auto" w:fill="auto"/>
            <w:vAlign w:val="center"/>
          </w:tcPr>
          <w:p w:rsidR="004824F7" w:rsidRPr="005C4E27" w:rsidRDefault="004824F7" w:rsidP="00816D23">
            <w:pPr>
              <w:spacing w:after="0" w:line="240" w:lineRule="auto"/>
              <w:rPr>
                <w:rFonts w:asciiTheme="minorHAnsi" w:eastAsia="Times New Roman" w:hAnsiTheme="minorHAnsi" w:cs="Times New Roman"/>
                <w:color w:val="000000"/>
                <w:sz w:val="20"/>
                <w:szCs w:val="20"/>
                <w:lang w:eastAsia="en-AU"/>
              </w:rPr>
            </w:pPr>
          </w:p>
        </w:tc>
      </w:tr>
      <w:tr w:rsidR="00ED0573" w:rsidRPr="005C4E27" w:rsidTr="00816D23">
        <w:trPr>
          <w:trHeight w:val="334"/>
        </w:trPr>
        <w:tc>
          <w:tcPr>
            <w:tcW w:w="3143" w:type="dxa"/>
            <w:tcBorders>
              <w:top w:val="single" w:sz="4" w:space="0" w:color="7030A0"/>
              <w:left w:val="single" w:sz="4" w:space="0" w:color="7030A0"/>
              <w:bottom w:val="single" w:sz="4" w:space="0" w:color="7030A0"/>
            </w:tcBorders>
            <w:shd w:val="clear" w:color="auto" w:fill="auto"/>
            <w:noWrap/>
            <w:vAlign w:val="center"/>
            <w:hideMark/>
          </w:tcPr>
          <w:p w:rsidR="00ED0573" w:rsidRPr="004C01F6" w:rsidRDefault="00ED0573" w:rsidP="00ED0573">
            <w:pPr>
              <w:spacing w:after="0" w:line="240" w:lineRule="auto"/>
              <w:rPr>
                <w:rFonts w:eastAsia="Times New Roman" w:cs="Arial"/>
                <w:color w:val="000000"/>
                <w:sz w:val="18"/>
                <w:szCs w:val="18"/>
                <w:lang w:eastAsia="en-AU"/>
              </w:rPr>
            </w:pPr>
            <w:r w:rsidRPr="00ED0573">
              <w:rPr>
                <w:rFonts w:eastAsia="Times New Roman" w:cs="Arial"/>
                <w:color w:val="000000"/>
                <w:sz w:val="18"/>
                <w:szCs w:val="18"/>
                <w:lang w:eastAsia="en-AU"/>
              </w:rPr>
              <w:t>Villa/Duplex/Townhouse, 1 resident</w:t>
            </w:r>
          </w:p>
        </w:tc>
        <w:tc>
          <w:tcPr>
            <w:tcW w:w="1036" w:type="dxa"/>
            <w:tcBorders>
              <w:top w:val="single" w:sz="4" w:space="0" w:color="7030A0"/>
              <w:bottom w:val="single" w:sz="4" w:space="0" w:color="7030A0"/>
            </w:tcBorders>
          </w:tcPr>
          <w:p w:rsidR="00ED0573" w:rsidRPr="00DA1F62" w:rsidRDefault="00ED0573" w:rsidP="00ED0573">
            <w:pPr>
              <w:spacing w:after="0"/>
              <w:jc w:val="center"/>
              <w:rPr>
                <w:rFonts w:cs="Arial"/>
                <w:sz w:val="18"/>
                <w:szCs w:val="18"/>
              </w:rPr>
            </w:pPr>
            <w:r w:rsidRPr="00DA1F62">
              <w:rPr>
                <w:rFonts w:cs="Arial"/>
                <w:sz w:val="18"/>
                <w:szCs w:val="18"/>
              </w:rPr>
              <w:t>na</w:t>
            </w:r>
          </w:p>
        </w:tc>
        <w:tc>
          <w:tcPr>
            <w:tcW w:w="940" w:type="dxa"/>
            <w:tcBorders>
              <w:top w:val="single" w:sz="4" w:space="0" w:color="7030A0"/>
              <w:bottom w:val="single" w:sz="4" w:space="0" w:color="7030A0"/>
            </w:tcBorders>
            <w:shd w:val="clear" w:color="auto" w:fill="auto"/>
            <w:noWrap/>
            <w:vAlign w:val="center"/>
          </w:tcPr>
          <w:p w:rsidR="00ED0573" w:rsidRPr="0015637B" w:rsidRDefault="00ED0573" w:rsidP="00ED0573">
            <w:pPr>
              <w:spacing w:after="0"/>
              <w:jc w:val="center"/>
              <w:rPr>
                <w:rFonts w:cs="Arial"/>
                <w:sz w:val="18"/>
                <w:szCs w:val="18"/>
              </w:rPr>
            </w:pPr>
            <w:r w:rsidRPr="0015637B">
              <w:rPr>
                <w:rFonts w:cs="Arial"/>
                <w:sz w:val="18"/>
                <w:szCs w:val="18"/>
              </w:rPr>
              <w:t>$23,794</w:t>
            </w:r>
          </w:p>
        </w:tc>
        <w:tc>
          <w:tcPr>
            <w:tcW w:w="940" w:type="dxa"/>
            <w:tcBorders>
              <w:top w:val="single" w:sz="4" w:space="0" w:color="7030A0"/>
              <w:bottom w:val="single" w:sz="4" w:space="0" w:color="7030A0"/>
            </w:tcBorders>
            <w:shd w:val="clear" w:color="auto" w:fill="auto"/>
            <w:noWrap/>
            <w:vAlign w:val="center"/>
          </w:tcPr>
          <w:p w:rsidR="00ED0573" w:rsidRPr="0015637B" w:rsidRDefault="00ED0573" w:rsidP="00ED0573">
            <w:pPr>
              <w:spacing w:after="0"/>
              <w:jc w:val="center"/>
              <w:rPr>
                <w:rFonts w:cs="Arial"/>
                <w:sz w:val="18"/>
                <w:szCs w:val="18"/>
              </w:rPr>
            </w:pPr>
            <w:r w:rsidRPr="0015637B">
              <w:rPr>
                <w:rFonts w:cs="Arial"/>
                <w:sz w:val="18"/>
                <w:szCs w:val="18"/>
              </w:rPr>
              <w:t>$26,316</w:t>
            </w:r>
          </w:p>
        </w:tc>
        <w:tc>
          <w:tcPr>
            <w:tcW w:w="940" w:type="dxa"/>
            <w:tcBorders>
              <w:top w:val="single" w:sz="4" w:space="0" w:color="7030A0"/>
              <w:bottom w:val="single" w:sz="4" w:space="0" w:color="7030A0"/>
            </w:tcBorders>
            <w:shd w:val="clear" w:color="auto" w:fill="auto"/>
            <w:noWrap/>
            <w:vAlign w:val="center"/>
          </w:tcPr>
          <w:p w:rsidR="00ED0573" w:rsidRPr="0015637B" w:rsidRDefault="00ED0573" w:rsidP="00ED0573">
            <w:pPr>
              <w:spacing w:after="0"/>
              <w:jc w:val="center"/>
              <w:rPr>
                <w:rFonts w:cs="Arial"/>
                <w:sz w:val="18"/>
                <w:szCs w:val="18"/>
              </w:rPr>
            </w:pPr>
            <w:r w:rsidRPr="0015637B">
              <w:rPr>
                <w:rFonts w:cs="Arial"/>
                <w:sz w:val="18"/>
                <w:szCs w:val="18"/>
              </w:rPr>
              <w:t>$32,522</w:t>
            </w:r>
          </w:p>
        </w:tc>
        <w:tc>
          <w:tcPr>
            <w:tcW w:w="940" w:type="dxa"/>
            <w:tcBorders>
              <w:top w:val="single" w:sz="4" w:space="0" w:color="7030A0"/>
              <w:bottom w:val="single" w:sz="4" w:space="0" w:color="7030A0"/>
            </w:tcBorders>
            <w:shd w:val="clear" w:color="auto" w:fill="auto"/>
            <w:noWrap/>
            <w:vAlign w:val="center"/>
          </w:tcPr>
          <w:p w:rsidR="00ED0573" w:rsidRPr="0015637B" w:rsidRDefault="00ED0573" w:rsidP="00ED0573">
            <w:pPr>
              <w:spacing w:after="0"/>
              <w:jc w:val="center"/>
              <w:rPr>
                <w:rFonts w:cs="Arial"/>
                <w:sz w:val="18"/>
                <w:szCs w:val="18"/>
              </w:rPr>
            </w:pPr>
            <w:r w:rsidRPr="0015637B">
              <w:rPr>
                <w:rFonts w:cs="Arial"/>
                <w:sz w:val="18"/>
                <w:szCs w:val="18"/>
              </w:rPr>
              <w:t>$35,699</w:t>
            </w:r>
          </w:p>
        </w:tc>
        <w:tc>
          <w:tcPr>
            <w:tcW w:w="940" w:type="dxa"/>
            <w:tcBorders>
              <w:top w:val="single" w:sz="4" w:space="0" w:color="7030A0"/>
              <w:bottom w:val="single" w:sz="4" w:space="0" w:color="7030A0"/>
            </w:tcBorders>
            <w:shd w:val="clear" w:color="auto" w:fill="auto"/>
            <w:noWrap/>
            <w:vAlign w:val="center"/>
          </w:tcPr>
          <w:p w:rsidR="00ED0573" w:rsidRPr="0015637B" w:rsidRDefault="00ED0573" w:rsidP="00ED0573">
            <w:pPr>
              <w:spacing w:after="0"/>
              <w:jc w:val="center"/>
              <w:rPr>
                <w:rFonts w:cs="Arial"/>
                <w:sz w:val="18"/>
                <w:szCs w:val="18"/>
              </w:rPr>
            </w:pPr>
            <w:r w:rsidRPr="0015637B">
              <w:rPr>
                <w:rFonts w:cs="Arial"/>
                <w:sz w:val="18"/>
                <w:szCs w:val="18"/>
              </w:rPr>
              <w:t>$38,805</w:t>
            </w:r>
          </w:p>
        </w:tc>
        <w:tc>
          <w:tcPr>
            <w:tcW w:w="940" w:type="dxa"/>
            <w:tcBorders>
              <w:top w:val="single" w:sz="4" w:space="0" w:color="7030A0"/>
              <w:bottom w:val="single" w:sz="4" w:space="0" w:color="7030A0"/>
            </w:tcBorders>
            <w:shd w:val="clear" w:color="auto" w:fill="auto"/>
            <w:noWrap/>
            <w:vAlign w:val="center"/>
          </w:tcPr>
          <w:p w:rsidR="00ED0573" w:rsidRPr="0015637B" w:rsidRDefault="00ED0573" w:rsidP="00ED0573">
            <w:pPr>
              <w:spacing w:after="0"/>
              <w:jc w:val="center"/>
              <w:rPr>
                <w:rFonts w:cs="Arial"/>
                <w:sz w:val="18"/>
                <w:szCs w:val="18"/>
              </w:rPr>
            </w:pPr>
            <w:r w:rsidRPr="0015637B">
              <w:rPr>
                <w:rFonts w:cs="Arial"/>
                <w:sz w:val="18"/>
                <w:szCs w:val="18"/>
              </w:rPr>
              <w:t>$42,756</w:t>
            </w:r>
          </w:p>
        </w:tc>
        <w:tc>
          <w:tcPr>
            <w:tcW w:w="938" w:type="dxa"/>
            <w:tcBorders>
              <w:top w:val="single" w:sz="4" w:space="0" w:color="7030A0"/>
              <w:bottom w:val="single" w:sz="4" w:space="0" w:color="7030A0"/>
            </w:tcBorders>
            <w:shd w:val="clear" w:color="auto" w:fill="auto"/>
            <w:noWrap/>
            <w:vAlign w:val="center"/>
          </w:tcPr>
          <w:p w:rsidR="00ED0573" w:rsidRPr="0015637B" w:rsidRDefault="00ED0573" w:rsidP="00ED0573">
            <w:pPr>
              <w:spacing w:after="0"/>
              <w:jc w:val="center"/>
              <w:rPr>
                <w:rFonts w:cs="Arial"/>
                <w:sz w:val="18"/>
                <w:szCs w:val="18"/>
              </w:rPr>
            </w:pPr>
            <w:r w:rsidRPr="0015637B">
              <w:rPr>
                <w:rFonts w:cs="Arial"/>
                <w:sz w:val="18"/>
                <w:szCs w:val="18"/>
              </w:rPr>
              <w:t>na</w:t>
            </w:r>
          </w:p>
        </w:tc>
        <w:tc>
          <w:tcPr>
            <w:tcW w:w="940" w:type="dxa"/>
            <w:tcBorders>
              <w:top w:val="single" w:sz="4" w:space="0" w:color="7030A0"/>
              <w:bottom w:val="single" w:sz="4" w:space="0" w:color="7030A0"/>
            </w:tcBorders>
            <w:shd w:val="clear" w:color="auto" w:fill="auto"/>
            <w:noWrap/>
            <w:vAlign w:val="center"/>
          </w:tcPr>
          <w:p w:rsidR="00ED0573" w:rsidRPr="0015637B" w:rsidRDefault="00ED0573" w:rsidP="00ED0573">
            <w:pPr>
              <w:spacing w:after="0"/>
              <w:jc w:val="center"/>
              <w:rPr>
                <w:rFonts w:cs="Arial"/>
                <w:sz w:val="18"/>
                <w:szCs w:val="18"/>
              </w:rPr>
            </w:pPr>
            <w:r w:rsidRPr="0015637B">
              <w:rPr>
                <w:rFonts w:cs="Arial"/>
                <w:sz w:val="18"/>
                <w:szCs w:val="18"/>
              </w:rPr>
              <w:t>$49,660</w:t>
            </w:r>
          </w:p>
        </w:tc>
        <w:tc>
          <w:tcPr>
            <w:tcW w:w="950" w:type="dxa"/>
            <w:tcBorders>
              <w:top w:val="single" w:sz="4" w:space="0" w:color="7030A0"/>
              <w:bottom w:val="single" w:sz="4" w:space="0" w:color="7030A0"/>
            </w:tcBorders>
            <w:shd w:val="clear" w:color="auto" w:fill="auto"/>
            <w:noWrap/>
            <w:vAlign w:val="center"/>
          </w:tcPr>
          <w:p w:rsidR="00ED0573" w:rsidRPr="0015637B" w:rsidRDefault="00ED0573" w:rsidP="00ED0573">
            <w:pPr>
              <w:spacing w:after="0"/>
              <w:jc w:val="center"/>
              <w:rPr>
                <w:rFonts w:cs="Arial"/>
                <w:sz w:val="18"/>
                <w:szCs w:val="18"/>
              </w:rPr>
            </w:pPr>
            <w:r w:rsidRPr="0015637B">
              <w:rPr>
                <w:rFonts w:cs="Arial"/>
                <w:sz w:val="18"/>
                <w:szCs w:val="18"/>
              </w:rPr>
              <w:t>$53,841</w:t>
            </w:r>
          </w:p>
        </w:tc>
        <w:tc>
          <w:tcPr>
            <w:tcW w:w="1229" w:type="dxa"/>
            <w:vMerge/>
            <w:tcBorders>
              <w:top w:val="single" w:sz="4" w:space="0" w:color="7030A0"/>
              <w:bottom w:val="single" w:sz="4" w:space="0" w:color="7030A0"/>
              <w:right w:val="single" w:sz="4" w:space="0" w:color="7030A0"/>
            </w:tcBorders>
            <w:shd w:val="clear" w:color="auto" w:fill="auto"/>
            <w:vAlign w:val="center"/>
            <w:hideMark/>
          </w:tcPr>
          <w:p w:rsidR="00ED0573" w:rsidRPr="005C4E27" w:rsidRDefault="00ED0573" w:rsidP="00ED0573">
            <w:pPr>
              <w:spacing w:after="0" w:line="240" w:lineRule="auto"/>
              <w:rPr>
                <w:rFonts w:asciiTheme="minorHAnsi" w:eastAsia="Times New Roman" w:hAnsiTheme="minorHAnsi" w:cs="Times New Roman"/>
                <w:color w:val="000000"/>
                <w:sz w:val="20"/>
                <w:szCs w:val="20"/>
                <w:lang w:eastAsia="en-AU"/>
              </w:rPr>
            </w:pPr>
          </w:p>
        </w:tc>
      </w:tr>
      <w:tr w:rsidR="00ED0573" w:rsidRPr="005C4E27" w:rsidTr="00816D23">
        <w:trPr>
          <w:trHeight w:val="334"/>
        </w:trPr>
        <w:tc>
          <w:tcPr>
            <w:tcW w:w="3143" w:type="dxa"/>
            <w:tcBorders>
              <w:top w:val="single" w:sz="4" w:space="0" w:color="7030A0"/>
              <w:left w:val="single" w:sz="4" w:space="0" w:color="7030A0"/>
              <w:bottom w:val="single" w:sz="4" w:space="0" w:color="7030A0"/>
            </w:tcBorders>
            <w:shd w:val="clear" w:color="auto" w:fill="auto"/>
            <w:noWrap/>
            <w:vAlign w:val="center"/>
            <w:hideMark/>
          </w:tcPr>
          <w:p w:rsidR="00ED0573" w:rsidRPr="007B7D09" w:rsidRDefault="00ED0573" w:rsidP="00ED0573">
            <w:pPr>
              <w:spacing w:after="0" w:line="240" w:lineRule="auto"/>
              <w:rPr>
                <w:rFonts w:eastAsia="Times New Roman" w:cs="Arial"/>
                <w:color w:val="000000"/>
                <w:sz w:val="18"/>
                <w:szCs w:val="18"/>
                <w:lang w:eastAsia="en-AU"/>
              </w:rPr>
            </w:pPr>
            <w:r w:rsidRPr="00ED0573">
              <w:rPr>
                <w:rFonts w:eastAsia="Times New Roman" w:cs="Arial"/>
                <w:color w:val="000000"/>
                <w:sz w:val="18"/>
                <w:szCs w:val="18"/>
                <w:lang w:eastAsia="en-AU"/>
              </w:rPr>
              <w:t>Villa/Duplex/Townhouse, 2 residents</w:t>
            </w:r>
          </w:p>
        </w:tc>
        <w:tc>
          <w:tcPr>
            <w:tcW w:w="1036" w:type="dxa"/>
            <w:tcBorders>
              <w:top w:val="single" w:sz="4" w:space="0" w:color="7030A0"/>
              <w:bottom w:val="single" w:sz="4" w:space="0" w:color="7030A0"/>
            </w:tcBorders>
          </w:tcPr>
          <w:p w:rsidR="00ED0573" w:rsidRPr="004C01F6" w:rsidRDefault="00ED0573" w:rsidP="00ED0573">
            <w:pPr>
              <w:spacing w:after="0"/>
              <w:jc w:val="center"/>
              <w:rPr>
                <w:rFonts w:cs="Arial"/>
                <w:sz w:val="18"/>
                <w:szCs w:val="18"/>
              </w:rPr>
            </w:pPr>
            <w:r w:rsidRPr="004C01F6">
              <w:rPr>
                <w:rFonts w:cs="Arial"/>
                <w:sz w:val="18"/>
                <w:szCs w:val="18"/>
              </w:rPr>
              <w:t>na</w:t>
            </w:r>
          </w:p>
        </w:tc>
        <w:tc>
          <w:tcPr>
            <w:tcW w:w="940" w:type="dxa"/>
            <w:tcBorders>
              <w:top w:val="single" w:sz="4" w:space="0" w:color="7030A0"/>
              <w:bottom w:val="single" w:sz="4" w:space="0" w:color="7030A0"/>
            </w:tcBorders>
            <w:shd w:val="clear" w:color="auto" w:fill="auto"/>
            <w:noWrap/>
            <w:vAlign w:val="center"/>
          </w:tcPr>
          <w:p w:rsidR="00ED0573" w:rsidRPr="0015637B" w:rsidRDefault="00ED0573" w:rsidP="00ED0573">
            <w:pPr>
              <w:spacing w:after="0"/>
              <w:jc w:val="center"/>
              <w:rPr>
                <w:rFonts w:cs="Arial"/>
                <w:sz w:val="18"/>
                <w:szCs w:val="18"/>
              </w:rPr>
            </w:pPr>
            <w:r w:rsidRPr="0015637B">
              <w:rPr>
                <w:rFonts w:cs="Arial"/>
                <w:sz w:val="18"/>
                <w:szCs w:val="18"/>
              </w:rPr>
              <w:t>$14,893</w:t>
            </w:r>
          </w:p>
        </w:tc>
        <w:tc>
          <w:tcPr>
            <w:tcW w:w="940" w:type="dxa"/>
            <w:tcBorders>
              <w:top w:val="single" w:sz="4" w:space="0" w:color="7030A0"/>
              <w:bottom w:val="single" w:sz="4" w:space="0" w:color="7030A0"/>
            </w:tcBorders>
            <w:shd w:val="clear" w:color="auto" w:fill="auto"/>
            <w:noWrap/>
            <w:vAlign w:val="center"/>
          </w:tcPr>
          <w:p w:rsidR="00ED0573" w:rsidRPr="0015637B" w:rsidRDefault="00ED0573" w:rsidP="00ED0573">
            <w:pPr>
              <w:spacing w:after="0"/>
              <w:jc w:val="center"/>
              <w:rPr>
                <w:rFonts w:cs="Arial"/>
                <w:sz w:val="18"/>
                <w:szCs w:val="18"/>
              </w:rPr>
            </w:pPr>
            <w:r w:rsidRPr="0015637B">
              <w:rPr>
                <w:rFonts w:cs="Arial"/>
                <w:sz w:val="18"/>
                <w:szCs w:val="18"/>
              </w:rPr>
              <w:t>$16,077</w:t>
            </w:r>
          </w:p>
        </w:tc>
        <w:tc>
          <w:tcPr>
            <w:tcW w:w="940" w:type="dxa"/>
            <w:tcBorders>
              <w:top w:val="single" w:sz="4" w:space="0" w:color="7030A0"/>
              <w:bottom w:val="single" w:sz="4" w:space="0" w:color="7030A0"/>
            </w:tcBorders>
            <w:shd w:val="clear" w:color="auto" w:fill="auto"/>
            <w:noWrap/>
            <w:vAlign w:val="center"/>
          </w:tcPr>
          <w:p w:rsidR="00ED0573" w:rsidRPr="0015637B" w:rsidRDefault="00ED0573" w:rsidP="00ED0573">
            <w:pPr>
              <w:spacing w:after="0"/>
              <w:jc w:val="center"/>
              <w:rPr>
                <w:rFonts w:cs="Arial"/>
                <w:sz w:val="18"/>
                <w:szCs w:val="18"/>
              </w:rPr>
            </w:pPr>
            <w:r w:rsidRPr="0015637B">
              <w:rPr>
                <w:rFonts w:cs="Arial"/>
                <w:sz w:val="18"/>
                <w:szCs w:val="18"/>
              </w:rPr>
              <w:t>$20,116</w:t>
            </w:r>
          </w:p>
        </w:tc>
        <w:tc>
          <w:tcPr>
            <w:tcW w:w="940" w:type="dxa"/>
            <w:tcBorders>
              <w:top w:val="single" w:sz="4" w:space="0" w:color="7030A0"/>
              <w:bottom w:val="single" w:sz="4" w:space="0" w:color="7030A0"/>
            </w:tcBorders>
            <w:shd w:val="clear" w:color="auto" w:fill="auto"/>
            <w:noWrap/>
            <w:vAlign w:val="center"/>
          </w:tcPr>
          <w:p w:rsidR="00ED0573" w:rsidRPr="0015637B" w:rsidRDefault="00ED0573" w:rsidP="00ED0573">
            <w:pPr>
              <w:spacing w:after="0"/>
              <w:jc w:val="center"/>
              <w:rPr>
                <w:rFonts w:cs="Arial"/>
                <w:sz w:val="18"/>
                <w:szCs w:val="18"/>
              </w:rPr>
            </w:pPr>
            <w:r w:rsidRPr="0015637B">
              <w:rPr>
                <w:rFonts w:cs="Arial"/>
                <w:sz w:val="18"/>
                <w:szCs w:val="18"/>
              </w:rPr>
              <w:t>$21,659</w:t>
            </w:r>
          </w:p>
        </w:tc>
        <w:tc>
          <w:tcPr>
            <w:tcW w:w="940" w:type="dxa"/>
            <w:tcBorders>
              <w:top w:val="single" w:sz="4" w:space="0" w:color="7030A0"/>
              <w:bottom w:val="single" w:sz="4" w:space="0" w:color="7030A0"/>
            </w:tcBorders>
            <w:shd w:val="clear" w:color="auto" w:fill="auto"/>
            <w:noWrap/>
            <w:vAlign w:val="center"/>
          </w:tcPr>
          <w:p w:rsidR="00ED0573" w:rsidRPr="0015637B" w:rsidRDefault="00ED0573" w:rsidP="00ED0573">
            <w:pPr>
              <w:spacing w:after="0"/>
              <w:jc w:val="center"/>
              <w:rPr>
                <w:rFonts w:cs="Arial"/>
                <w:sz w:val="18"/>
                <w:szCs w:val="18"/>
              </w:rPr>
            </w:pPr>
            <w:r w:rsidRPr="0015637B">
              <w:rPr>
                <w:rFonts w:cs="Arial"/>
                <w:sz w:val="18"/>
                <w:szCs w:val="18"/>
              </w:rPr>
              <w:t>$24,317</w:t>
            </w:r>
          </w:p>
        </w:tc>
        <w:tc>
          <w:tcPr>
            <w:tcW w:w="940" w:type="dxa"/>
            <w:tcBorders>
              <w:top w:val="single" w:sz="4" w:space="0" w:color="7030A0"/>
              <w:bottom w:val="single" w:sz="4" w:space="0" w:color="7030A0"/>
            </w:tcBorders>
            <w:shd w:val="clear" w:color="auto" w:fill="auto"/>
            <w:noWrap/>
            <w:vAlign w:val="center"/>
          </w:tcPr>
          <w:p w:rsidR="00ED0573" w:rsidRPr="0015637B" w:rsidRDefault="00ED0573" w:rsidP="00ED0573">
            <w:pPr>
              <w:spacing w:after="0"/>
              <w:jc w:val="center"/>
              <w:rPr>
                <w:rFonts w:cs="Arial"/>
                <w:sz w:val="18"/>
                <w:szCs w:val="18"/>
              </w:rPr>
            </w:pPr>
            <w:r w:rsidRPr="0015637B">
              <w:rPr>
                <w:rFonts w:cs="Arial"/>
                <w:sz w:val="18"/>
                <w:szCs w:val="18"/>
              </w:rPr>
              <w:t>$26,222</w:t>
            </w:r>
          </w:p>
        </w:tc>
        <w:tc>
          <w:tcPr>
            <w:tcW w:w="938" w:type="dxa"/>
            <w:tcBorders>
              <w:top w:val="single" w:sz="4" w:space="0" w:color="7030A0"/>
              <w:bottom w:val="single" w:sz="4" w:space="0" w:color="7030A0"/>
            </w:tcBorders>
            <w:shd w:val="clear" w:color="auto" w:fill="auto"/>
            <w:noWrap/>
            <w:vAlign w:val="center"/>
          </w:tcPr>
          <w:p w:rsidR="00ED0573" w:rsidRPr="0015637B" w:rsidRDefault="00ED0573" w:rsidP="00ED0573">
            <w:pPr>
              <w:spacing w:after="0"/>
              <w:jc w:val="center"/>
              <w:rPr>
                <w:rFonts w:cs="Arial"/>
                <w:sz w:val="18"/>
                <w:szCs w:val="18"/>
              </w:rPr>
            </w:pPr>
            <w:r w:rsidRPr="0015637B">
              <w:rPr>
                <w:rFonts w:cs="Arial"/>
                <w:sz w:val="18"/>
                <w:szCs w:val="18"/>
              </w:rPr>
              <w:t>+$1,602</w:t>
            </w:r>
          </w:p>
        </w:tc>
        <w:tc>
          <w:tcPr>
            <w:tcW w:w="940" w:type="dxa"/>
            <w:tcBorders>
              <w:top w:val="single" w:sz="4" w:space="0" w:color="7030A0"/>
              <w:bottom w:val="single" w:sz="4" w:space="0" w:color="7030A0"/>
            </w:tcBorders>
            <w:shd w:val="clear" w:color="auto" w:fill="auto"/>
            <w:noWrap/>
            <w:vAlign w:val="center"/>
          </w:tcPr>
          <w:p w:rsidR="00ED0573" w:rsidRPr="0015637B" w:rsidRDefault="00ED0573" w:rsidP="00ED0573">
            <w:pPr>
              <w:spacing w:after="0"/>
              <w:jc w:val="center"/>
              <w:rPr>
                <w:rFonts w:cs="Arial"/>
                <w:sz w:val="18"/>
                <w:szCs w:val="18"/>
              </w:rPr>
            </w:pPr>
            <w:r w:rsidRPr="0015637B">
              <w:rPr>
                <w:rFonts w:cs="Arial"/>
                <w:sz w:val="18"/>
                <w:szCs w:val="18"/>
              </w:rPr>
              <w:t>$31,847</w:t>
            </w:r>
          </w:p>
        </w:tc>
        <w:tc>
          <w:tcPr>
            <w:tcW w:w="950" w:type="dxa"/>
            <w:tcBorders>
              <w:top w:val="single" w:sz="4" w:space="0" w:color="7030A0"/>
              <w:bottom w:val="single" w:sz="4" w:space="0" w:color="7030A0"/>
            </w:tcBorders>
            <w:shd w:val="clear" w:color="auto" w:fill="auto"/>
            <w:noWrap/>
            <w:vAlign w:val="center"/>
          </w:tcPr>
          <w:p w:rsidR="00ED0573" w:rsidRPr="0015637B" w:rsidRDefault="00ED0573" w:rsidP="00ED0573">
            <w:pPr>
              <w:spacing w:after="0"/>
              <w:jc w:val="center"/>
              <w:rPr>
                <w:rFonts w:cs="Arial"/>
                <w:sz w:val="18"/>
                <w:szCs w:val="18"/>
              </w:rPr>
            </w:pPr>
            <w:r w:rsidRPr="0015637B">
              <w:rPr>
                <w:rFonts w:cs="Arial"/>
                <w:sz w:val="18"/>
                <w:szCs w:val="18"/>
              </w:rPr>
              <w:t>$33,858</w:t>
            </w:r>
          </w:p>
        </w:tc>
        <w:tc>
          <w:tcPr>
            <w:tcW w:w="1229" w:type="dxa"/>
            <w:vMerge/>
            <w:tcBorders>
              <w:top w:val="single" w:sz="4" w:space="0" w:color="7030A0"/>
              <w:bottom w:val="single" w:sz="4" w:space="0" w:color="7030A0"/>
              <w:right w:val="single" w:sz="4" w:space="0" w:color="7030A0"/>
            </w:tcBorders>
            <w:shd w:val="clear" w:color="auto" w:fill="auto"/>
            <w:vAlign w:val="center"/>
            <w:hideMark/>
          </w:tcPr>
          <w:p w:rsidR="00ED0573" w:rsidRPr="005C4E27" w:rsidRDefault="00ED0573" w:rsidP="00ED0573">
            <w:pPr>
              <w:spacing w:after="0" w:line="240" w:lineRule="auto"/>
              <w:rPr>
                <w:rFonts w:asciiTheme="minorHAnsi" w:eastAsia="Times New Roman" w:hAnsiTheme="minorHAnsi" w:cs="Times New Roman"/>
                <w:color w:val="000000"/>
                <w:sz w:val="20"/>
                <w:szCs w:val="20"/>
                <w:lang w:eastAsia="en-AU"/>
              </w:rPr>
            </w:pPr>
          </w:p>
        </w:tc>
      </w:tr>
      <w:tr w:rsidR="00ED0573" w:rsidRPr="005C4E27" w:rsidTr="00816D23">
        <w:trPr>
          <w:trHeight w:val="334"/>
        </w:trPr>
        <w:tc>
          <w:tcPr>
            <w:tcW w:w="3143" w:type="dxa"/>
            <w:tcBorders>
              <w:top w:val="single" w:sz="4" w:space="0" w:color="7030A0"/>
              <w:left w:val="single" w:sz="4" w:space="0" w:color="7030A0"/>
              <w:bottom w:val="single" w:sz="4" w:space="0" w:color="7030A0"/>
            </w:tcBorders>
            <w:shd w:val="clear" w:color="auto" w:fill="auto"/>
            <w:noWrap/>
            <w:vAlign w:val="center"/>
            <w:hideMark/>
          </w:tcPr>
          <w:p w:rsidR="00ED0573" w:rsidRPr="007B7D09" w:rsidRDefault="00ED0573" w:rsidP="00ED0573">
            <w:pPr>
              <w:spacing w:after="0" w:line="240" w:lineRule="auto"/>
              <w:rPr>
                <w:rFonts w:eastAsia="Times New Roman" w:cs="Arial"/>
                <w:color w:val="000000"/>
                <w:sz w:val="18"/>
                <w:szCs w:val="18"/>
                <w:lang w:eastAsia="en-AU"/>
              </w:rPr>
            </w:pPr>
            <w:r w:rsidRPr="00ED0573">
              <w:rPr>
                <w:rFonts w:eastAsia="Times New Roman" w:cs="Arial"/>
                <w:color w:val="000000"/>
                <w:sz w:val="18"/>
                <w:szCs w:val="18"/>
                <w:lang w:eastAsia="en-AU"/>
              </w:rPr>
              <w:t>Villa/Duplex/Townhouse, 3 residents</w:t>
            </w:r>
          </w:p>
        </w:tc>
        <w:tc>
          <w:tcPr>
            <w:tcW w:w="1036" w:type="dxa"/>
            <w:tcBorders>
              <w:top w:val="single" w:sz="4" w:space="0" w:color="7030A0"/>
              <w:bottom w:val="single" w:sz="4" w:space="0" w:color="7030A0"/>
            </w:tcBorders>
          </w:tcPr>
          <w:p w:rsidR="00ED0573" w:rsidRPr="004C01F6" w:rsidRDefault="00ED0573" w:rsidP="00ED0573">
            <w:pPr>
              <w:spacing w:after="0"/>
              <w:jc w:val="center"/>
              <w:rPr>
                <w:rFonts w:cs="Arial"/>
                <w:sz w:val="18"/>
                <w:szCs w:val="18"/>
              </w:rPr>
            </w:pPr>
            <w:r w:rsidRPr="004C01F6">
              <w:rPr>
                <w:rFonts w:cs="Arial"/>
                <w:sz w:val="18"/>
                <w:szCs w:val="18"/>
              </w:rPr>
              <w:t>na</w:t>
            </w:r>
          </w:p>
        </w:tc>
        <w:tc>
          <w:tcPr>
            <w:tcW w:w="940" w:type="dxa"/>
            <w:tcBorders>
              <w:top w:val="single" w:sz="4" w:space="0" w:color="7030A0"/>
              <w:bottom w:val="single" w:sz="4" w:space="0" w:color="7030A0"/>
            </w:tcBorders>
            <w:shd w:val="clear" w:color="auto" w:fill="auto"/>
            <w:noWrap/>
            <w:vAlign w:val="center"/>
          </w:tcPr>
          <w:p w:rsidR="00ED0573" w:rsidRPr="0015637B" w:rsidRDefault="00ED0573" w:rsidP="00ED0573">
            <w:pPr>
              <w:spacing w:after="0"/>
              <w:jc w:val="center"/>
              <w:rPr>
                <w:rFonts w:cs="Arial"/>
                <w:sz w:val="18"/>
                <w:szCs w:val="18"/>
              </w:rPr>
            </w:pPr>
            <w:r w:rsidRPr="0015637B">
              <w:rPr>
                <w:rFonts w:cs="Arial"/>
                <w:sz w:val="18"/>
                <w:szCs w:val="18"/>
              </w:rPr>
              <w:t>$12,164</w:t>
            </w:r>
          </w:p>
        </w:tc>
        <w:tc>
          <w:tcPr>
            <w:tcW w:w="940" w:type="dxa"/>
            <w:tcBorders>
              <w:top w:val="single" w:sz="4" w:space="0" w:color="7030A0"/>
              <w:bottom w:val="single" w:sz="4" w:space="0" w:color="7030A0"/>
            </w:tcBorders>
            <w:shd w:val="clear" w:color="auto" w:fill="auto"/>
            <w:noWrap/>
            <w:vAlign w:val="center"/>
          </w:tcPr>
          <w:p w:rsidR="00ED0573" w:rsidRPr="0015637B" w:rsidRDefault="00ED0573" w:rsidP="00ED0573">
            <w:pPr>
              <w:spacing w:after="0"/>
              <w:jc w:val="center"/>
              <w:rPr>
                <w:rFonts w:cs="Arial"/>
                <w:sz w:val="18"/>
                <w:szCs w:val="18"/>
              </w:rPr>
            </w:pPr>
            <w:r w:rsidRPr="0015637B">
              <w:rPr>
                <w:rFonts w:cs="Arial"/>
                <w:sz w:val="18"/>
                <w:szCs w:val="18"/>
              </w:rPr>
              <w:t>$12,970</w:t>
            </w:r>
          </w:p>
        </w:tc>
        <w:tc>
          <w:tcPr>
            <w:tcW w:w="940" w:type="dxa"/>
            <w:tcBorders>
              <w:top w:val="single" w:sz="4" w:space="0" w:color="7030A0"/>
              <w:bottom w:val="single" w:sz="4" w:space="0" w:color="7030A0"/>
            </w:tcBorders>
            <w:shd w:val="clear" w:color="auto" w:fill="auto"/>
            <w:noWrap/>
            <w:vAlign w:val="center"/>
          </w:tcPr>
          <w:p w:rsidR="00ED0573" w:rsidRPr="0015637B" w:rsidRDefault="00ED0573" w:rsidP="00ED0573">
            <w:pPr>
              <w:spacing w:after="0"/>
              <w:jc w:val="center"/>
              <w:rPr>
                <w:rFonts w:cs="Arial"/>
                <w:sz w:val="18"/>
                <w:szCs w:val="18"/>
              </w:rPr>
            </w:pPr>
            <w:r w:rsidRPr="0015637B">
              <w:rPr>
                <w:rFonts w:cs="Arial"/>
                <w:sz w:val="18"/>
                <w:szCs w:val="18"/>
              </w:rPr>
              <w:t>$16,968</w:t>
            </w:r>
          </w:p>
        </w:tc>
        <w:tc>
          <w:tcPr>
            <w:tcW w:w="940" w:type="dxa"/>
            <w:tcBorders>
              <w:top w:val="single" w:sz="4" w:space="0" w:color="7030A0"/>
              <w:bottom w:val="single" w:sz="4" w:space="0" w:color="7030A0"/>
            </w:tcBorders>
            <w:shd w:val="clear" w:color="auto" w:fill="auto"/>
            <w:noWrap/>
            <w:vAlign w:val="center"/>
          </w:tcPr>
          <w:p w:rsidR="00ED0573" w:rsidRPr="0015637B" w:rsidRDefault="00ED0573" w:rsidP="00ED0573">
            <w:pPr>
              <w:spacing w:after="0"/>
              <w:jc w:val="center"/>
              <w:rPr>
                <w:rFonts w:cs="Arial"/>
                <w:sz w:val="18"/>
                <w:szCs w:val="18"/>
              </w:rPr>
            </w:pPr>
            <w:r w:rsidRPr="0015637B">
              <w:rPr>
                <w:rFonts w:cs="Arial"/>
                <w:sz w:val="18"/>
                <w:szCs w:val="18"/>
              </w:rPr>
              <w:t>$18,000</w:t>
            </w:r>
          </w:p>
        </w:tc>
        <w:tc>
          <w:tcPr>
            <w:tcW w:w="940" w:type="dxa"/>
            <w:tcBorders>
              <w:top w:val="single" w:sz="4" w:space="0" w:color="7030A0"/>
              <w:bottom w:val="single" w:sz="4" w:space="0" w:color="7030A0"/>
            </w:tcBorders>
            <w:shd w:val="clear" w:color="auto" w:fill="auto"/>
            <w:noWrap/>
            <w:vAlign w:val="center"/>
          </w:tcPr>
          <w:p w:rsidR="00ED0573" w:rsidRPr="0015637B" w:rsidRDefault="00ED0573" w:rsidP="00ED0573">
            <w:pPr>
              <w:spacing w:after="0"/>
              <w:jc w:val="center"/>
              <w:rPr>
                <w:rFonts w:cs="Arial"/>
                <w:sz w:val="18"/>
                <w:szCs w:val="18"/>
              </w:rPr>
            </w:pPr>
            <w:r w:rsidRPr="0015637B">
              <w:rPr>
                <w:rFonts w:cs="Arial"/>
                <w:sz w:val="18"/>
                <w:szCs w:val="18"/>
              </w:rPr>
              <w:t>$20,931</w:t>
            </w:r>
          </w:p>
        </w:tc>
        <w:tc>
          <w:tcPr>
            <w:tcW w:w="940" w:type="dxa"/>
            <w:tcBorders>
              <w:top w:val="single" w:sz="4" w:space="0" w:color="7030A0"/>
              <w:bottom w:val="single" w:sz="4" w:space="0" w:color="7030A0"/>
            </w:tcBorders>
            <w:shd w:val="clear" w:color="auto" w:fill="auto"/>
            <w:noWrap/>
            <w:vAlign w:val="center"/>
          </w:tcPr>
          <w:p w:rsidR="00ED0573" w:rsidRPr="0015637B" w:rsidRDefault="00ED0573" w:rsidP="00ED0573">
            <w:pPr>
              <w:spacing w:after="0"/>
              <w:jc w:val="center"/>
              <w:rPr>
                <w:rFonts w:cs="Arial"/>
                <w:sz w:val="18"/>
                <w:szCs w:val="18"/>
              </w:rPr>
            </w:pPr>
            <w:r w:rsidRPr="0015637B">
              <w:rPr>
                <w:rFonts w:cs="Arial"/>
                <w:sz w:val="18"/>
                <w:szCs w:val="18"/>
              </w:rPr>
              <w:t>$22,200</w:t>
            </w:r>
          </w:p>
        </w:tc>
        <w:tc>
          <w:tcPr>
            <w:tcW w:w="938" w:type="dxa"/>
            <w:tcBorders>
              <w:top w:val="single" w:sz="4" w:space="0" w:color="7030A0"/>
              <w:bottom w:val="single" w:sz="4" w:space="0" w:color="7030A0"/>
            </w:tcBorders>
            <w:shd w:val="clear" w:color="auto" w:fill="auto"/>
            <w:noWrap/>
            <w:vAlign w:val="center"/>
          </w:tcPr>
          <w:p w:rsidR="00ED0573" w:rsidRPr="0015637B" w:rsidRDefault="00ED0573" w:rsidP="00ED0573">
            <w:pPr>
              <w:spacing w:after="0"/>
              <w:jc w:val="center"/>
              <w:rPr>
                <w:rFonts w:cs="Arial"/>
                <w:sz w:val="18"/>
                <w:szCs w:val="18"/>
              </w:rPr>
            </w:pPr>
            <w:r w:rsidRPr="0015637B">
              <w:rPr>
                <w:rFonts w:cs="Arial"/>
                <w:sz w:val="18"/>
                <w:szCs w:val="18"/>
              </w:rPr>
              <w:t>+$1,068</w:t>
            </w:r>
          </w:p>
        </w:tc>
        <w:tc>
          <w:tcPr>
            <w:tcW w:w="940" w:type="dxa"/>
            <w:tcBorders>
              <w:top w:val="single" w:sz="4" w:space="0" w:color="7030A0"/>
              <w:bottom w:val="single" w:sz="4" w:space="0" w:color="7030A0"/>
            </w:tcBorders>
            <w:shd w:val="clear" w:color="auto" w:fill="auto"/>
            <w:noWrap/>
            <w:vAlign w:val="center"/>
          </w:tcPr>
          <w:p w:rsidR="00ED0573" w:rsidRPr="0015637B" w:rsidRDefault="00ED0573" w:rsidP="00ED0573">
            <w:pPr>
              <w:spacing w:after="0"/>
              <w:jc w:val="center"/>
              <w:rPr>
                <w:rFonts w:cs="Arial"/>
                <w:sz w:val="18"/>
                <w:szCs w:val="18"/>
              </w:rPr>
            </w:pPr>
            <w:r w:rsidRPr="0015637B">
              <w:rPr>
                <w:rFonts w:cs="Arial"/>
                <w:sz w:val="18"/>
                <w:szCs w:val="18"/>
              </w:rPr>
              <w:t>$27,930</w:t>
            </w:r>
          </w:p>
        </w:tc>
        <w:tc>
          <w:tcPr>
            <w:tcW w:w="950" w:type="dxa"/>
            <w:tcBorders>
              <w:top w:val="single" w:sz="4" w:space="0" w:color="7030A0"/>
              <w:bottom w:val="single" w:sz="4" w:space="0" w:color="7030A0"/>
            </w:tcBorders>
            <w:shd w:val="clear" w:color="auto" w:fill="auto"/>
            <w:noWrap/>
            <w:vAlign w:val="center"/>
          </w:tcPr>
          <w:p w:rsidR="00ED0573" w:rsidRPr="0015637B" w:rsidRDefault="00ED0573" w:rsidP="00ED0573">
            <w:pPr>
              <w:spacing w:after="0"/>
              <w:jc w:val="center"/>
              <w:rPr>
                <w:rFonts w:cs="Arial"/>
                <w:sz w:val="18"/>
                <w:szCs w:val="18"/>
              </w:rPr>
            </w:pPr>
            <w:r w:rsidRPr="0015637B">
              <w:rPr>
                <w:rFonts w:cs="Arial"/>
                <w:sz w:val="18"/>
                <w:szCs w:val="18"/>
              </w:rPr>
              <w:t>$29,269</w:t>
            </w:r>
          </w:p>
        </w:tc>
        <w:tc>
          <w:tcPr>
            <w:tcW w:w="1229" w:type="dxa"/>
            <w:vMerge/>
            <w:tcBorders>
              <w:top w:val="single" w:sz="4" w:space="0" w:color="7030A0"/>
              <w:bottom w:val="single" w:sz="4" w:space="0" w:color="7030A0"/>
              <w:right w:val="single" w:sz="4" w:space="0" w:color="7030A0"/>
            </w:tcBorders>
            <w:shd w:val="clear" w:color="auto" w:fill="auto"/>
            <w:vAlign w:val="center"/>
            <w:hideMark/>
          </w:tcPr>
          <w:p w:rsidR="00ED0573" w:rsidRPr="005C4E27" w:rsidRDefault="00ED0573" w:rsidP="00ED0573">
            <w:pPr>
              <w:spacing w:after="0" w:line="240" w:lineRule="auto"/>
              <w:rPr>
                <w:rFonts w:asciiTheme="minorHAnsi" w:eastAsia="Times New Roman" w:hAnsiTheme="minorHAnsi" w:cs="Times New Roman"/>
                <w:color w:val="000000"/>
                <w:sz w:val="20"/>
                <w:szCs w:val="20"/>
                <w:lang w:eastAsia="en-AU"/>
              </w:rPr>
            </w:pPr>
          </w:p>
        </w:tc>
      </w:tr>
      <w:tr w:rsidR="004824F7" w:rsidRPr="005C4E27" w:rsidTr="00816D23">
        <w:trPr>
          <w:trHeight w:val="334"/>
        </w:trPr>
        <w:tc>
          <w:tcPr>
            <w:tcW w:w="3143" w:type="dxa"/>
            <w:tcBorders>
              <w:top w:val="single" w:sz="4" w:space="0" w:color="7030A0"/>
              <w:left w:val="single" w:sz="4" w:space="0" w:color="7030A0"/>
              <w:bottom w:val="single" w:sz="4" w:space="0" w:color="7030A0"/>
            </w:tcBorders>
            <w:shd w:val="clear" w:color="auto" w:fill="auto"/>
            <w:noWrap/>
            <w:vAlign w:val="center"/>
          </w:tcPr>
          <w:p w:rsidR="004824F7" w:rsidRPr="007B7D09" w:rsidRDefault="004824F7" w:rsidP="00816D23">
            <w:pPr>
              <w:spacing w:after="0" w:line="240" w:lineRule="auto"/>
              <w:rPr>
                <w:rFonts w:eastAsia="Times New Roman" w:cs="Arial"/>
                <w:color w:val="000000"/>
                <w:sz w:val="18"/>
                <w:szCs w:val="18"/>
                <w:lang w:eastAsia="en-AU"/>
              </w:rPr>
            </w:pPr>
            <w:r w:rsidRPr="007B7D09">
              <w:rPr>
                <w:rFonts w:eastAsia="Times New Roman" w:cs="Arial"/>
                <w:color w:val="000000"/>
                <w:sz w:val="18"/>
                <w:szCs w:val="18"/>
                <w:lang w:eastAsia="en-AU"/>
              </w:rPr>
              <w:t>House, 2 residents</w:t>
            </w:r>
          </w:p>
        </w:tc>
        <w:tc>
          <w:tcPr>
            <w:tcW w:w="1036" w:type="dxa"/>
            <w:tcBorders>
              <w:top w:val="single" w:sz="4" w:space="0" w:color="7030A0"/>
              <w:bottom w:val="single" w:sz="4" w:space="0" w:color="7030A0"/>
            </w:tcBorders>
          </w:tcPr>
          <w:p w:rsidR="004824F7" w:rsidRPr="004C01F6" w:rsidRDefault="004824F7" w:rsidP="00816D23">
            <w:pPr>
              <w:spacing w:after="0"/>
              <w:jc w:val="center"/>
              <w:rPr>
                <w:rFonts w:cs="Arial"/>
                <w:sz w:val="18"/>
                <w:szCs w:val="18"/>
              </w:rPr>
            </w:pPr>
            <w:r w:rsidRPr="004C01F6">
              <w:rPr>
                <w:rFonts w:cs="Arial"/>
                <w:sz w:val="18"/>
                <w:szCs w:val="18"/>
              </w:rPr>
              <w:t>na</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$21,749</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$22,934</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$26,992</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$28,535</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$31,727</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$33,632</w:t>
            </w:r>
          </w:p>
        </w:tc>
        <w:tc>
          <w:tcPr>
            <w:tcW w:w="938"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+$1,602</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$39,305</w:t>
            </w:r>
          </w:p>
        </w:tc>
        <w:tc>
          <w:tcPr>
            <w:tcW w:w="95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$41,316</w:t>
            </w:r>
          </w:p>
        </w:tc>
        <w:tc>
          <w:tcPr>
            <w:tcW w:w="1229" w:type="dxa"/>
            <w:vMerge/>
            <w:tcBorders>
              <w:top w:val="single" w:sz="4" w:space="0" w:color="7030A0"/>
              <w:bottom w:val="single" w:sz="4" w:space="0" w:color="7030A0"/>
              <w:right w:val="single" w:sz="4" w:space="0" w:color="7030A0"/>
            </w:tcBorders>
            <w:shd w:val="clear" w:color="auto" w:fill="auto"/>
            <w:vAlign w:val="center"/>
          </w:tcPr>
          <w:p w:rsidR="004824F7" w:rsidRPr="005C4E27" w:rsidRDefault="004824F7" w:rsidP="00816D23">
            <w:pPr>
              <w:spacing w:after="0" w:line="240" w:lineRule="auto"/>
              <w:rPr>
                <w:rFonts w:asciiTheme="minorHAnsi" w:eastAsia="Times New Roman" w:hAnsiTheme="minorHAnsi" w:cs="Times New Roman"/>
                <w:color w:val="000000"/>
                <w:sz w:val="20"/>
                <w:szCs w:val="20"/>
                <w:lang w:eastAsia="en-AU"/>
              </w:rPr>
            </w:pPr>
          </w:p>
        </w:tc>
      </w:tr>
      <w:tr w:rsidR="004824F7" w:rsidRPr="005C4E27" w:rsidTr="00816D23">
        <w:trPr>
          <w:trHeight w:val="334"/>
        </w:trPr>
        <w:tc>
          <w:tcPr>
            <w:tcW w:w="3143" w:type="dxa"/>
            <w:tcBorders>
              <w:top w:val="single" w:sz="4" w:space="0" w:color="7030A0"/>
              <w:left w:val="single" w:sz="4" w:space="0" w:color="7030A0"/>
              <w:bottom w:val="single" w:sz="4" w:space="0" w:color="7030A0"/>
            </w:tcBorders>
            <w:shd w:val="clear" w:color="auto" w:fill="auto"/>
            <w:noWrap/>
            <w:vAlign w:val="center"/>
            <w:hideMark/>
          </w:tcPr>
          <w:p w:rsidR="004824F7" w:rsidRPr="007B7D09" w:rsidRDefault="004824F7" w:rsidP="00816D23">
            <w:pPr>
              <w:spacing w:after="0" w:line="240" w:lineRule="auto"/>
              <w:rPr>
                <w:rFonts w:eastAsia="Times New Roman" w:cs="Arial"/>
                <w:color w:val="000000"/>
                <w:sz w:val="18"/>
                <w:szCs w:val="18"/>
                <w:lang w:eastAsia="en-AU"/>
              </w:rPr>
            </w:pPr>
            <w:r w:rsidRPr="007B7D09">
              <w:rPr>
                <w:rFonts w:eastAsia="Times New Roman" w:cs="Arial"/>
                <w:color w:val="000000"/>
                <w:sz w:val="18"/>
                <w:szCs w:val="18"/>
                <w:lang w:eastAsia="en-AU"/>
              </w:rPr>
              <w:t>House, 3 residents</w:t>
            </w:r>
          </w:p>
        </w:tc>
        <w:tc>
          <w:tcPr>
            <w:tcW w:w="1036" w:type="dxa"/>
            <w:tcBorders>
              <w:top w:val="single" w:sz="4" w:space="0" w:color="7030A0"/>
              <w:bottom w:val="single" w:sz="4" w:space="0" w:color="7030A0"/>
            </w:tcBorders>
          </w:tcPr>
          <w:p w:rsidR="004824F7" w:rsidRPr="004C01F6" w:rsidRDefault="004824F7" w:rsidP="00816D23">
            <w:pPr>
              <w:spacing w:after="0"/>
              <w:jc w:val="center"/>
              <w:rPr>
                <w:rFonts w:cs="Arial"/>
                <w:sz w:val="18"/>
                <w:szCs w:val="18"/>
              </w:rPr>
            </w:pPr>
            <w:r w:rsidRPr="004C01F6">
              <w:rPr>
                <w:rFonts w:cs="Arial"/>
                <w:sz w:val="18"/>
                <w:szCs w:val="18"/>
              </w:rPr>
              <w:t>na</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$17,094</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$17,997</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$22,445</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$23,601</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$26,656</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$28,059</w:t>
            </w:r>
          </w:p>
        </w:tc>
        <w:tc>
          <w:tcPr>
            <w:tcW w:w="938"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+$1,180</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$36,880</w:t>
            </w:r>
          </w:p>
        </w:tc>
        <w:tc>
          <w:tcPr>
            <w:tcW w:w="95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$38,500</w:t>
            </w:r>
          </w:p>
        </w:tc>
        <w:tc>
          <w:tcPr>
            <w:tcW w:w="1229" w:type="dxa"/>
            <w:vMerge/>
            <w:tcBorders>
              <w:top w:val="single" w:sz="4" w:space="0" w:color="7030A0"/>
              <w:bottom w:val="single" w:sz="4" w:space="0" w:color="7030A0"/>
              <w:right w:val="single" w:sz="4" w:space="0" w:color="7030A0"/>
            </w:tcBorders>
            <w:shd w:val="clear" w:color="auto" w:fill="auto"/>
            <w:vAlign w:val="center"/>
            <w:hideMark/>
          </w:tcPr>
          <w:p w:rsidR="004824F7" w:rsidRPr="005C4E27" w:rsidRDefault="004824F7" w:rsidP="00816D23">
            <w:pPr>
              <w:spacing w:after="0" w:line="240" w:lineRule="auto"/>
              <w:rPr>
                <w:rFonts w:asciiTheme="minorHAnsi" w:eastAsia="Times New Roman" w:hAnsiTheme="minorHAnsi" w:cs="Times New Roman"/>
                <w:color w:val="000000"/>
                <w:sz w:val="20"/>
                <w:szCs w:val="20"/>
                <w:lang w:eastAsia="en-AU"/>
              </w:rPr>
            </w:pPr>
          </w:p>
        </w:tc>
      </w:tr>
      <w:tr w:rsidR="004824F7" w:rsidRPr="005C4E27" w:rsidTr="00816D23">
        <w:trPr>
          <w:trHeight w:val="334"/>
        </w:trPr>
        <w:tc>
          <w:tcPr>
            <w:tcW w:w="3143" w:type="dxa"/>
            <w:tcBorders>
              <w:top w:val="single" w:sz="4" w:space="0" w:color="7030A0"/>
              <w:left w:val="single" w:sz="4" w:space="0" w:color="7030A0"/>
              <w:bottom w:val="single" w:sz="4" w:space="0" w:color="7030A0"/>
            </w:tcBorders>
            <w:shd w:val="clear" w:color="auto" w:fill="auto"/>
            <w:noWrap/>
            <w:vAlign w:val="center"/>
            <w:hideMark/>
          </w:tcPr>
          <w:p w:rsidR="004824F7" w:rsidRPr="004C01F6" w:rsidRDefault="004824F7" w:rsidP="00816D23">
            <w:pPr>
              <w:spacing w:after="0" w:line="240" w:lineRule="auto"/>
              <w:rPr>
                <w:rFonts w:eastAsia="Times New Roman" w:cs="Arial"/>
                <w:color w:val="000000"/>
                <w:sz w:val="18"/>
                <w:szCs w:val="18"/>
                <w:lang w:eastAsia="en-AU"/>
              </w:rPr>
            </w:pPr>
            <w:r w:rsidRPr="007B7D09">
              <w:rPr>
                <w:rFonts w:eastAsia="Times New Roman" w:cs="Arial"/>
                <w:color w:val="000000"/>
                <w:sz w:val="18"/>
                <w:szCs w:val="18"/>
                <w:lang w:eastAsia="en-AU"/>
              </w:rPr>
              <w:t xml:space="preserve">Group </w:t>
            </w:r>
            <w:r>
              <w:rPr>
                <w:rFonts w:eastAsia="Times New Roman" w:cs="Arial"/>
                <w:color w:val="000000"/>
                <w:sz w:val="18"/>
                <w:szCs w:val="18"/>
                <w:lang w:eastAsia="en-AU"/>
              </w:rPr>
              <w:t>home</w:t>
            </w:r>
            <w:r w:rsidRPr="007B7D09">
              <w:rPr>
                <w:rFonts w:eastAsia="Times New Roman" w:cs="Arial"/>
                <w:color w:val="000000"/>
                <w:sz w:val="18"/>
                <w:szCs w:val="18"/>
                <w:lang w:eastAsia="en-AU"/>
              </w:rPr>
              <w:t>, 4 r</w:t>
            </w:r>
            <w:r w:rsidRPr="004C01F6">
              <w:rPr>
                <w:rFonts w:eastAsia="Times New Roman" w:cs="Arial"/>
                <w:color w:val="000000"/>
                <w:sz w:val="18"/>
                <w:szCs w:val="18"/>
                <w:lang w:eastAsia="en-AU"/>
              </w:rPr>
              <w:t>esidents</w:t>
            </w:r>
          </w:p>
        </w:tc>
        <w:tc>
          <w:tcPr>
            <w:tcW w:w="1036" w:type="dxa"/>
            <w:tcBorders>
              <w:top w:val="single" w:sz="4" w:space="0" w:color="7030A0"/>
              <w:bottom w:val="single" w:sz="4" w:space="0" w:color="7030A0"/>
            </w:tcBorders>
          </w:tcPr>
          <w:p w:rsidR="004824F7" w:rsidRPr="00DA1F62" w:rsidRDefault="004824F7" w:rsidP="00816D23">
            <w:pPr>
              <w:spacing w:after="0"/>
              <w:jc w:val="center"/>
              <w:rPr>
                <w:rFonts w:cs="Arial"/>
                <w:sz w:val="18"/>
                <w:szCs w:val="18"/>
              </w:rPr>
            </w:pPr>
            <w:r w:rsidRPr="00DA1F62">
              <w:rPr>
                <w:rFonts w:cs="Arial"/>
                <w:sz w:val="18"/>
                <w:szCs w:val="18"/>
              </w:rPr>
              <w:t>na</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$15,064</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$15,742</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$19,926</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$20,808</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$23,900</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$24,963</w:t>
            </w:r>
          </w:p>
        </w:tc>
        <w:tc>
          <w:tcPr>
            <w:tcW w:w="938"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+$894</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$33,135</w:t>
            </w:r>
          </w:p>
        </w:tc>
        <w:tc>
          <w:tcPr>
            <w:tcW w:w="95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$34,355</w:t>
            </w:r>
          </w:p>
        </w:tc>
        <w:tc>
          <w:tcPr>
            <w:tcW w:w="1229" w:type="dxa"/>
            <w:vMerge/>
            <w:tcBorders>
              <w:top w:val="single" w:sz="4" w:space="0" w:color="7030A0"/>
              <w:bottom w:val="single" w:sz="4" w:space="0" w:color="7030A0"/>
              <w:right w:val="single" w:sz="4" w:space="0" w:color="7030A0"/>
            </w:tcBorders>
            <w:shd w:val="clear" w:color="auto" w:fill="auto"/>
            <w:vAlign w:val="center"/>
            <w:hideMark/>
          </w:tcPr>
          <w:p w:rsidR="004824F7" w:rsidRPr="005C4E27" w:rsidRDefault="004824F7" w:rsidP="00816D23">
            <w:pPr>
              <w:spacing w:after="0" w:line="240" w:lineRule="auto"/>
              <w:rPr>
                <w:rFonts w:asciiTheme="minorHAnsi" w:eastAsia="Times New Roman" w:hAnsiTheme="minorHAnsi" w:cs="Times New Roman"/>
                <w:color w:val="000000"/>
                <w:sz w:val="20"/>
                <w:szCs w:val="20"/>
                <w:lang w:eastAsia="en-AU"/>
              </w:rPr>
            </w:pPr>
          </w:p>
        </w:tc>
      </w:tr>
      <w:tr w:rsidR="004824F7" w:rsidRPr="005C4E27" w:rsidTr="00816D23">
        <w:trPr>
          <w:trHeight w:val="334"/>
        </w:trPr>
        <w:tc>
          <w:tcPr>
            <w:tcW w:w="3143" w:type="dxa"/>
            <w:tcBorders>
              <w:top w:val="single" w:sz="4" w:space="0" w:color="7030A0"/>
              <w:left w:val="single" w:sz="4" w:space="0" w:color="7030A0"/>
              <w:bottom w:val="single" w:sz="4" w:space="0" w:color="7030A0"/>
            </w:tcBorders>
            <w:shd w:val="clear" w:color="auto" w:fill="auto"/>
            <w:noWrap/>
            <w:vAlign w:val="center"/>
            <w:hideMark/>
          </w:tcPr>
          <w:p w:rsidR="004824F7" w:rsidRPr="007B7D09" w:rsidRDefault="004824F7" w:rsidP="00816D23">
            <w:pPr>
              <w:spacing w:after="0" w:line="240" w:lineRule="auto"/>
              <w:rPr>
                <w:rFonts w:eastAsia="Times New Roman" w:cs="Arial"/>
                <w:color w:val="000000"/>
                <w:sz w:val="18"/>
                <w:szCs w:val="18"/>
                <w:lang w:eastAsia="en-AU"/>
              </w:rPr>
            </w:pPr>
            <w:r w:rsidRPr="007B7D09">
              <w:rPr>
                <w:rFonts w:eastAsia="Times New Roman" w:cs="Arial"/>
                <w:color w:val="000000"/>
                <w:sz w:val="18"/>
                <w:szCs w:val="18"/>
                <w:lang w:eastAsia="en-AU"/>
              </w:rPr>
              <w:t xml:space="preserve">Group </w:t>
            </w:r>
            <w:r>
              <w:rPr>
                <w:rFonts w:eastAsia="Times New Roman" w:cs="Arial"/>
                <w:color w:val="000000"/>
                <w:sz w:val="18"/>
                <w:szCs w:val="18"/>
                <w:lang w:eastAsia="en-AU"/>
              </w:rPr>
              <w:t>home</w:t>
            </w:r>
            <w:r w:rsidRPr="007B7D09">
              <w:rPr>
                <w:rFonts w:eastAsia="Times New Roman" w:cs="Arial"/>
                <w:color w:val="000000"/>
                <w:sz w:val="18"/>
                <w:szCs w:val="18"/>
                <w:lang w:eastAsia="en-AU"/>
              </w:rPr>
              <w:t>, 5 residents</w:t>
            </w:r>
          </w:p>
        </w:tc>
        <w:tc>
          <w:tcPr>
            <w:tcW w:w="1036" w:type="dxa"/>
            <w:tcBorders>
              <w:top w:val="single" w:sz="4" w:space="0" w:color="7030A0"/>
              <w:bottom w:val="single" w:sz="4" w:space="0" w:color="7030A0"/>
            </w:tcBorders>
          </w:tcPr>
          <w:p w:rsidR="004824F7" w:rsidRPr="004C01F6" w:rsidRDefault="004824F7" w:rsidP="00816D23">
            <w:pPr>
              <w:spacing w:after="0"/>
              <w:jc w:val="center"/>
              <w:rPr>
                <w:rFonts w:cs="Arial"/>
                <w:sz w:val="18"/>
                <w:szCs w:val="18"/>
              </w:rPr>
            </w:pPr>
            <w:r w:rsidRPr="004C01F6">
              <w:rPr>
                <w:rFonts w:cs="Arial"/>
                <w:sz w:val="18"/>
                <w:szCs w:val="18"/>
              </w:rPr>
              <w:t>na</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$12,730</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$13,285</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$17,424</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$18,123</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$20,974</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$21,814</w:t>
            </w:r>
          </w:p>
        </w:tc>
        <w:tc>
          <w:tcPr>
            <w:tcW w:w="938"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+$706</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$29,551</w:t>
            </w:r>
          </w:p>
        </w:tc>
        <w:tc>
          <w:tcPr>
            <w:tcW w:w="95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$30,512</w:t>
            </w:r>
          </w:p>
        </w:tc>
        <w:tc>
          <w:tcPr>
            <w:tcW w:w="1229" w:type="dxa"/>
            <w:vMerge/>
            <w:tcBorders>
              <w:top w:val="single" w:sz="4" w:space="0" w:color="7030A0"/>
              <w:bottom w:val="single" w:sz="4" w:space="0" w:color="7030A0"/>
              <w:right w:val="single" w:sz="4" w:space="0" w:color="7030A0"/>
            </w:tcBorders>
            <w:shd w:val="clear" w:color="auto" w:fill="auto"/>
            <w:vAlign w:val="center"/>
            <w:hideMark/>
          </w:tcPr>
          <w:p w:rsidR="004824F7" w:rsidRPr="005C4E27" w:rsidRDefault="004824F7" w:rsidP="00816D23">
            <w:pPr>
              <w:spacing w:after="0" w:line="240" w:lineRule="auto"/>
              <w:rPr>
                <w:rFonts w:asciiTheme="minorHAnsi" w:eastAsia="Times New Roman" w:hAnsiTheme="minorHAnsi" w:cs="Times New Roman"/>
                <w:color w:val="000000"/>
                <w:sz w:val="20"/>
                <w:szCs w:val="20"/>
                <w:lang w:eastAsia="en-AU"/>
              </w:rPr>
            </w:pPr>
          </w:p>
        </w:tc>
      </w:tr>
    </w:tbl>
    <w:p w:rsidR="004824F7" w:rsidRPr="007B7D09" w:rsidRDefault="004824F7" w:rsidP="000C56BF">
      <w:pPr>
        <w:spacing w:before="0" w:after="0"/>
        <w:rPr>
          <w:sz w:val="20"/>
          <w:szCs w:val="20"/>
        </w:rPr>
      </w:pPr>
    </w:p>
    <w:p w:rsidR="000C56BF" w:rsidRPr="004824F7" w:rsidRDefault="000C56BF" w:rsidP="000C56BF">
      <w:pPr>
        <w:spacing w:after="0"/>
        <w:rPr>
          <w:b/>
          <w:sz w:val="18"/>
        </w:rPr>
      </w:pPr>
      <w:r w:rsidRPr="004824F7">
        <w:rPr>
          <w:b/>
          <w:sz w:val="18"/>
        </w:rPr>
        <w:t>On-site overnight assistance</w:t>
      </w:r>
      <w:r>
        <w:rPr>
          <w:b/>
          <w:sz w:val="18"/>
        </w:rPr>
        <w:t xml:space="preserve"> (OOA)</w:t>
      </w:r>
    </w:p>
    <w:p w:rsidR="000C56BF" w:rsidRPr="004824F7" w:rsidRDefault="000C56BF" w:rsidP="000C56BF">
      <w:pPr>
        <w:spacing w:after="0"/>
        <w:rPr>
          <w:b/>
          <w:sz w:val="18"/>
        </w:rPr>
      </w:pPr>
      <w:r>
        <w:rPr>
          <w:sz w:val="18"/>
        </w:rPr>
        <w:t>The SDA price for a dwelling with o</w:t>
      </w:r>
      <w:r w:rsidRPr="007B7D09">
        <w:rPr>
          <w:sz w:val="18"/>
        </w:rPr>
        <w:t>n-site overnight assistance</w:t>
      </w:r>
      <w:r w:rsidRPr="004C01F6" w:rsidDel="000C56BF">
        <w:rPr>
          <w:sz w:val="18"/>
        </w:rPr>
        <w:t xml:space="preserve"> </w:t>
      </w:r>
      <w:r w:rsidRPr="004824F7">
        <w:rPr>
          <w:b/>
          <w:sz w:val="18"/>
        </w:rPr>
        <w:t xml:space="preserve">Additional breakout room (Robust </w:t>
      </w:r>
      <w:r>
        <w:rPr>
          <w:b/>
          <w:sz w:val="18"/>
        </w:rPr>
        <w:t>d</w:t>
      </w:r>
      <w:r w:rsidRPr="004824F7">
        <w:rPr>
          <w:b/>
          <w:sz w:val="18"/>
        </w:rPr>
        <w:t>esign only)</w:t>
      </w:r>
    </w:p>
    <w:p w:rsidR="004824F7" w:rsidRPr="00F948BF" w:rsidRDefault="000C56BF" w:rsidP="004824F7">
      <w:pPr>
        <w:spacing w:after="0"/>
        <w:rPr>
          <w:b/>
          <w:sz w:val="18"/>
          <w:szCs w:val="18"/>
        </w:rPr>
      </w:pPr>
      <w:r w:rsidRPr="004C01F6">
        <w:rPr>
          <w:sz w:val="18"/>
        </w:rPr>
        <w:t>+1 Room</w:t>
      </w:r>
      <w:r>
        <w:rPr>
          <w:sz w:val="18"/>
        </w:rPr>
        <w:t xml:space="preserve"> sets out the extra amount added for an add</w:t>
      </w:r>
      <w:r w:rsidRPr="004C01F6">
        <w:rPr>
          <w:sz w:val="18"/>
        </w:rPr>
        <w:t>itional breakout room</w:t>
      </w:r>
      <w:r w:rsidRPr="00DA1F62" w:rsidDel="000C56BF">
        <w:rPr>
          <w:sz w:val="18"/>
        </w:rPr>
        <w:t xml:space="preserve"> </w:t>
      </w:r>
      <w:r w:rsidR="004824F7" w:rsidRPr="00F0619B">
        <w:rPr>
          <w:b/>
          <w:sz w:val="18"/>
          <w:szCs w:val="18"/>
        </w:rPr>
        <w:t>Fire Sprinkler</w:t>
      </w:r>
      <w:r w:rsidR="004824F7" w:rsidRPr="00DA1F62">
        <w:rPr>
          <w:sz w:val="18"/>
          <w:szCs w:val="18"/>
        </w:rPr>
        <w:t xml:space="preserve"> </w:t>
      </w:r>
      <w:r w:rsidR="004824F7" w:rsidRPr="00F948BF">
        <w:rPr>
          <w:b/>
          <w:sz w:val="18"/>
          <w:szCs w:val="18"/>
        </w:rPr>
        <w:t xml:space="preserve">Allowance </w:t>
      </w:r>
    </w:p>
    <w:p w:rsidR="00ED0573" w:rsidRPr="000C56BF" w:rsidRDefault="004824F7" w:rsidP="000C56BF">
      <w:pPr>
        <w:spacing w:after="0"/>
        <w:rPr>
          <w:sz w:val="18"/>
          <w:szCs w:val="18"/>
        </w:rPr>
      </w:pPr>
      <w:r w:rsidRPr="00DA1F62">
        <w:rPr>
          <w:sz w:val="18"/>
          <w:szCs w:val="18"/>
        </w:rPr>
        <w:t xml:space="preserve">Fire </w:t>
      </w:r>
      <w:r>
        <w:rPr>
          <w:sz w:val="18"/>
          <w:szCs w:val="18"/>
        </w:rPr>
        <w:t>Sprinkler</w:t>
      </w:r>
      <w:r w:rsidRPr="00DA1F62">
        <w:rPr>
          <w:sz w:val="18"/>
          <w:szCs w:val="18"/>
        </w:rPr>
        <w:t xml:space="preserve"> </w:t>
      </w:r>
      <w:r>
        <w:rPr>
          <w:sz w:val="18"/>
          <w:szCs w:val="18"/>
        </w:rPr>
        <w:t>A</w:t>
      </w:r>
      <w:r w:rsidRPr="00DA1F62">
        <w:rPr>
          <w:sz w:val="18"/>
          <w:szCs w:val="18"/>
        </w:rPr>
        <w:t xml:space="preserve">llowance </w:t>
      </w:r>
      <w:r>
        <w:rPr>
          <w:sz w:val="18"/>
          <w:szCs w:val="18"/>
        </w:rPr>
        <w:t>+</w:t>
      </w:r>
      <w:r w:rsidRPr="00DA1F62">
        <w:rPr>
          <w:sz w:val="18"/>
          <w:szCs w:val="18"/>
        </w:rPr>
        <w:t xml:space="preserve">1.2% for apartments and </w:t>
      </w:r>
      <w:r w:rsidR="00D132C9">
        <w:rPr>
          <w:sz w:val="18"/>
          <w:szCs w:val="18"/>
        </w:rPr>
        <w:t>+</w:t>
      </w:r>
      <w:r w:rsidRPr="00DA1F62">
        <w:rPr>
          <w:sz w:val="18"/>
          <w:szCs w:val="18"/>
        </w:rPr>
        <w:t>1.9% for other building types</w:t>
      </w:r>
      <w:r w:rsidR="00ED0573">
        <w:br w:type="page"/>
      </w:r>
    </w:p>
    <w:p w:rsidR="00A3768E" w:rsidRDefault="007C1FE2" w:rsidP="00A3768E">
      <w:pPr>
        <w:pStyle w:val="Heading2"/>
      </w:pPr>
      <w:bookmarkStart w:id="40" w:name="_Toc477352084"/>
      <w:r>
        <w:t>Base P</w:t>
      </w:r>
      <w:r w:rsidR="00A3768E">
        <w:t>rice</w:t>
      </w:r>
      <w:r>
        <w:t>s for</w:t>
      </w:r>
      <w:r w:rsidR="00A3768E">
        <w:t xml:space="preserve"> Existing Stock</w:t>
      </w:r>
      <w:bookmarkEnd w:id="40"/>
    </w:p>
    <w:p w:rsidR="00FC54BF" w:rsidRPr="00E93D6A" w:rsidRDefault="00FC54BF" w:rsidP="00FC54BF">
      <w:pPr>
        <w:pStyle w:val="Caption"/>
        <w:rPr>
          <w:rFonts w:asciiTheme="minorHAnsi" w:hAnsiTheme="minorHAnsi"/>
          <w:sz w:val="20"/>
          <w:szCs w:val="20"/>
        </w:rPr>
      </w:pPr>
      <w:bookmarkStart w:id="41" w:name="_Ref452552390"/>
      <w:bookmarkStart w:id="42" w:name="_Ref454353906"/>
      <w:r w:rsidRPr="00CD197F">
        <w:t xml:space="preserve">Table </w:t>
      </w:r>
      <w:r w:rsidR="004824F7">
        <w:t>7</w:t>
      </w:r>
      <w:bookmarkEnd w:id="41"/>
      <w:r>
        <w:t xml:space="preserve">: </w:t>
      </w:r>
      <w:r w:rsidRPr="00CD197F">
        <w:t>A</w:t>
      </w:r>
      <w:r w:rsidR="003F44E3">
        <w:t>nnual Base</w:t>
      </w:r>
      <w:r w:rsidRPr="00CD197F">
        <w:t xml:space="preserve"> price per participant </w:t>
      </w:r>
      <w:r w:rsidRPr="004824F7">
        <w:t>for E</w:t>
      </w:r>
      <w:r w:rsidR="003F44E3" w:rsidRPr="004824F7">
        <w:t>xisting Stock</w:t>
      </w:r>
      <w:r w:rsidRPr="004824F7">
        <w:t xml:space="preserve"> ($2016</w:t>
      </w:r>
      <w:r w:rsidRPr="00E93D6A">
        <w:t>/17)</w:t>
      </w:r>
      <w:bookmarkEnd w:id="42"/>
    </w:p>
    <w:tbl>
      <w:tblPr>
        <w:tblW w:w="13948" w:type="dxa"/>
        <w:tblBorders>
          <w:insideH w:val="single" w:sz="4" w:space="0" w:color="7030A0"/>
          <w:insideV w:val="single" w:sz="4" w:space="0" w:color="7030A0"/>
        </w:tblBorders>
        <w:tblLook w:val="04A0" w:firstRow="1" w:lastRow="0" w:firstColumn="1" w:lastColumn="0" w:noHBand="0" w:noVBand="1"/>
      </w:tblPr>
      <w:tblGrid>
        <w:gridCol w:w="3241"/>
        <w:gridCol w:w="867"/>
        <w:gridCol w:w="937"/>
        <w:gridCol w:w="937"/>
        <w:gridCol w:w="938"/>
        <w:gridCol w:w="1011"/>
        <w:gridCol w:w="867"/>
        <w:gridCol w:w="938"/>
        <w:gridCol w:w="1079"/>
        <w:gridCol w:w="938"/>
        <w:gridCol w:w="867"/>
        <w:gridCol w:w="1328"/>
      </w:tblGrid>
      <w:tr w:rsidR="00FC54BF" w:rsidRPr="005C4E27" w:rsidTr="0032246B">
        <w:trPr>
          <w:trHeight w:val="334"/>
        </w:trPr>
        <w:tc>
          <w:tcPr>
            <w:tcW w:w="3241" w:type="dxa"/>
            <w:vMerge w:val="restart"/>
            <w:tcBorders>
              <w:top w:val="single" w:sz="4" w:space="0" w:color="7030A0"/>
              <w:left w:val="single" w:sz="4" w:space="0" w:color="7030A0"/>
              <w:bottom w:val="single" w:sz="4" w:space="0" w:color="7030A0"/>
              <w:right w:val="single" w:sz="4" w:space="0" w:color="FFFFFF" w:themeColor="background1"/>
            </w:tcBorders>
            <w:shd w:val="clear" w:color="auto" w:fill="7030A0"/>
            <w:noWrap/>
            <w:vAlign w:val="center"/>
            <w:hideMark/>
          </w:tcPr>
          <w:p w:rsidR="00FC54BF" w:rsidRPr="005C4E27" w:rsidRDefault="00FC54BF" w:rsidP="00AE614F">
            <w:pPr>
              <w:spacing w:after="0" w:line="240" w:lineRule="auto"/>
              <w:rPr>
                <w:rFonts w:eastAsia="Times New Roman" w:cs="Arial"/>
                <w:b/>
                <w:color w:val="FFFFFF" w:themeColor="background1"/>
                <w:sz w:val="18"/>
                <w:szCs w:val="18"/>
                <w:lang w:eastAsia="en-AU"/>
              </w:rPr>
            </w:pPr>
            <w:r w:rsidRPr="00E93D6A">
              <w:rPr>
                <w:rFonts w:eastAsia="Times New Roman" w:cs="Arial"/>
                <w:b/>
                <w:color w:val="FFFFFF" w:themeColor="background1"/>
                <w:sz w:val="18"/>
                <w:szCs w:val="18"/>
                <w:lang w:eastAsia="en-AU"/>
              </w:rPr>
              <w:t xml:space="preserve">Building </w:t>
            </w:r>
            <w:r w:rsidR="00AE614F">
              <w:rPr>
                <w:rFonts w:eastAsia="Times New Roman" w:cs="Arial"/>
                <w:b/>
                <w:color w:val="FFFFFF" w:themeColor="background1"/>
                <w:sz w:val="18"/>
                <w:szCs w:val="18"/>
                <w:lang w:eastAsia="en-AU"/>
              </w:rPr>
              <w:t>T</w:t>
            </w:r>
            <w:r w:rsidRPr="00E93D6A">
              <w:rPr>
                <w:rFonts w:eastAsia="Times New Roman" w:cs="Arial"/>
                <w:b/>
                <w:color w:val="FFFFFF" w:themeColor="background1"/>
                <w:sz w:val="18"/>
                <w:szCs w:val="18"/>
                <w:lang w:eastAsia="en-AU"/>
              </w:rPr>
              <w:t xml:space="preserve">ype / </w:t>
            </w:r>
            <w:r w:rsidR="00AE614F">
              <w:rPr>
                <w:rFonts w:eastAsia="Times New Roman" w:cs="Arial"/>
                <w:b/>
                <w:color w:val="FFFFFF" w:themeColor="background1"/>
                <w:sz w:val="18"/>
                <w:szCs w:val="18"/>
                <w:lang w:eastAsia="en-AU"/>
              </w:rPr>
              <w:t>D</w:t>
            </w:r>
            <w:r w:rsidRPr="00E93D6A">
              <w:rPr>
                <w:rFonts w:eastAsia="Times New Roman" w:cs="Arial"/>
                <w:b/>
                <w:color w:val="FFFFFF" w:themeColor="background1"/>
                <w:sz w:val="18"/>
                <w:szCs w:val="18"/>
                <w:lang w:eastAsia="en-AU"/>
              </w:rPr>
              <w:t xml:space="preserve">esign </w:t>
            </w:r>
            <w:r w:rsidR="00AE614F">
              <w:rPr>
                <w:rFonts w:eastAsia="Times New Roman" w:cs="Arial"/>
                <w:b/>
                <w:color w:val="FFFFFF" w:themeColor="background1"/>
                <w:sz w:val="18"/>
                <w:szCs w:val="18"/>
                <w:lang w:eastAsia="en-AU"/>
              </w:rPr>
              <w:t>C</w:t>
            </w:r>
            <w:r w:rsidRPr="00E93D6A">
              <w:rPr>
                <w:rFonts w:eastAsia="Times New Roman" w:cs="Arial"/>
                <w:b/>
                <w:color w:val="FFFFFF" w:themeColor="background1"/>
                <w:sz w:val="18"/>
                <w:szCs w:val="18"/>
                <w:lang w:eastAsia="en-AU"/>
              </w:rPr>
              <w:t>ategory</w:t>
            </w:r>
          </w:p>
        </w:tc>
        <w:tc>
          <w:tcPr>
            <w:tcW w:w="867" w:type="dxa"/>
            <w:vMerge w:val="restart"/>
            <w:tcBorders>
              <w:top w:val="single" w:sz="4" w:space="0" w:color="7030A0"/>
              <w:left w:val="single" w:sz="4" w:space="0" w:color="FFFFFF" w:themeColor="background1"/>
              <w:bottom w:val="single" w:sz="4" w:space="0" w:color="7030A0"/>
              <w:right w:val="single" w:sz="4" w:space="0" w:color="FFFFFF" w:themeColor="background1"/>
            </w:tcBorders>
            <w:shd w:val="clear" w:color="auto" w:fill="7030A0"/>
            <w:vAlign w:val="center"/>
          </w:tcPr>
          <w:p w:rsidR="00FC54BF" w:rsidRPr="005C4E27" w:rsidRDefault="00FC54BF" w:rsidP="0032246B">
            <w:pPr>
              <w:spacing w:after="0" w:line="240" w:lineRule="auto"/>
              <w:jc w:val="center"/>
              <w:rPr>
                <w:rFonts w:eastAsia="Times New Roman" w:cs="Arial"/>
                <w:b/>
                <w:color w:val="FFFFFF" w:themeColor="background1"/>
                <w:sz w:val="18"/>
                <w:szCs w:val="18"/>
                <w:lang w:eastAsia="en-AU"/>
              </w:rPr>
            </w:pPr>
            <w:r w:rsidRPr="005C4E27">
              <w:rPr>
                <w:rFonts w:eastAsia="Times New Roman" w:cs="Arial"/>
                <w:b/>
                <w:color w:val="FFFFFF" w:themeColor="background1"/>
                <w:sz w:val="18"/>
                <w:szCs w:val="18"/>
                <w:lang w:eastAsia="en-AU"/>
              </w:rPr>
              <w:t>Basic</w:t>
            </w:r>
          </w:p>
        </w:tc>
        <w:tc>
          <w:tcPr>
            <w:tcW w:w="1874" w:type="dxa"/>
            <w:gridSpan w:val="2"/>
            <w:tcBorders>
              <w:top w:val="single" w:sz="4" w:space="0" w:color="7030A0"/>
              <w:left w:val="single" w:sz="4" w:space="0" w:color="FFFFFF" w:themeColor="background1"/>
              <w:bottom w:val="single" w:sz="4" w:space="0" w:color="FFFFFF" w:themeColor="background1"/>
              <w:right w:val="single" w:sz="4" w:space="0" w:color="FFFFFF" w:themeColor="background1"/>
            </w:tcBorders>
            <w:shd w:val="clear" w:color="auto" w:fill="7030A0"/>
            <w:noWrap/>
            <w:vAlign w:val="center"/>
            <w:hideMark/>
          </w:tcPr>
          <w:p w:rsidR="00FC54BF" w:rsidRPr="005C4E27" w:rsidRDefault="00FC54BF" w:rsidP="0032246B">
            <w:pPr>
              <w:spacing w:after="0" w:line="240" w:lineRule="auto"/>
              <w:jc w:val="center"/>
              <w:rPr>
                <w:rFonts w:eastAsia="Times New Roman" w:cs="Arial"/>
                <w:b/>
                <w:color w:val="FFFFFF" w:themeColor="background1"/>
                <w:sz w:val="18"/>
                <w:szCs w:val="18"/>
                <w:lang w:eastAsia="en-AU"/>
              </w:rPr>
            </w:pPr>
            <w:r w:rsidRPr="005C4E27">
              <w:rPr>
                <w:rFonts w:eastAsia="Times New Roman" w:cs="Arial"/>
                <w:b/>
                <w:color w:val="FFFFFF" w:themeColor="background1"/>
                <w:sz w:val="18"/>
                <w:szCs w:val="18"/>
                <w:lang w:eastAsia="en-AU"/>
              </w:rPr>
              <w:t>Improved Liv</w:t>
            </w:r>
            <w:r w:rsidR="002C59FD">
              <w:rPr>
                <w:rFonts w:eastAsia="Times New Roman" w:cs="Arial"/>
                <w:b/>
                <w:color w:val="FFFFFF" w:themeColor="background1"/>
                <w:sz w:val="18"/>
                <w:szCs w:val="18"/>
                <w:lang w:eastAsia="en-AU"/>
              </w:rPr>
              <w:t>e</w:t>
            </w:r>
            <w:r w:rsidRPr="005C4E27">
              <w:rPr>
                <w:rFonts w:eastAsia="Times New Roman" w:cs="Arial"/>
                <w:b/>
                <w:color w:val="FFFFFF" w:themeColor="background1"/>
                <w:sz w:val="18"/>
                <w:szCs w:val="18"/>
                <w:lang w:eastAsia="en-AU"/>
              </w:rPr>
              <w:t>ability</w:t>
            </w:r>
          </w:p>
        </w:tc>
        <w:tc>
          <w:tcPr>
            <w:tcW w:w="1949" w:type="dxa"/>
            <w:gridSpan w:val="2"/>
            <w:tcBorders>
              <w:top w:val="single" w:sz="4" w:space="0" w:color="7030A0"/>
              <w:left w:val="single" w:sz="4" w:space="0" w:color="FFFFFF" w:themeColor="background1"/>
              <w:bottom w:val="single" w:sz="4" w:space="0" w:color="FFFFFF" w:themeColor="background1"/>
              <w:right w:val="single" w:sz="4" w:space="0" w:color="FFFFFF" w:themeColor="background1"/>
            </w:tcBorders>
            <w:shd w:val="clear" w:color="auto" w:fill="7030A0"/>
            <w:noWrap/>
            <w:vAlign w:val="center"/>
            <w:hideMark/>
          </w:tcPr>
          <w:p w:rsidR="00FC54BF" w:rsidRPr="00CD197F" w:rsidRDefault="00FC54BF" w:rsidP="0032246B">
            <w:pPr>
              <w:spacing w:after="0" w:line="240" w:lineRule="auto"/>
              <w:jc w:val="center"/>
              <w:rPr>
                <w:rFonts w:eastAsia="Times New Roman" w:cs="Arial"/>
                <w:b/>
                <w:color w:val="FFFFFF" w:themeColor="background1"/>
                <w:sz w:val="18"/>
                <w:szCs w:val="18"/>
                <w:lang w:eastAsia="en-AU"/>
              </w:rPr>
            </w:pPr>
            <w:r w:rsidRPr="005C4E27">
              <w:rPr>
                <w:rFonts w:eastAsia="Times New Roman" w:cs="Arial"/>
                <w:b/>
                <w:color w:val="FFFFFF" w:themeColor="background1"/>
                <w:sz w:val="18"/>
                <w:szCs w:val="18"/>
                <w:lang w:eastAsia="en-AU"/>
              </w:rPr>
              <w:t xml:space="preserve">Fully </w:t>
            </w:r>
            <w:r>
              <w:rPr>
                <w:rFonts w:eastAsia="Times New Roman" w:cs="Arial"/>
                <w:b/>
                <w:color w:val="FFFFFF" w:themeColor="background1"/>
                <w:sz w:val="18"/>
                <w:szCs w:val="18"/>
                <w:lang w:eastAsia="en-AU"/>
              </w:rPr>
              <w:t>A</w:t>
            </w:r>
            <w:r w:rsidRPr="00CD197F">
              <w:rPr>
                <w:rFonts w:eastAsia="Times New Roman" w:cs="Arial"/>
                <w:b/>
                <w:color w:val="FFFFFF" w:themeColor="background1"/>
                <w:sz w:val="18"/>
                <w:szCs w:val="18"/>
                <w:lang w:eastAsia="en-AU"/>
              </w:rPr>
              <w:t>ccessible</w:t>
            </w:r>
          </w:p>
        </w:tc>
        <w:tc>
          <w:tcPr>
            <w:tcW w:w="2884" w:type="dxa"/>
            <w:gridSpan w:val="3"/>
            <w:tcBorders>
              <w:top w:val="single" w:sz="4" w:space="0" w:color="7030A0"/>
              <w:left w:val="single" w:sz="4" w:space="0" w:color="FFFFFF" w:themeColor="background1"/>
              <w:bottom w:val="single" w:sz="4" w:space="0" w:color="FFFFFF" w:themeColor="background1"/>
              <w:right w:val="single" w:sz="4" w:space="0" w:color="FFFFFF" w:themeColor="background1"/>
            </w:tcBorders>
            <w:shd w:val="clear" w:color="auto" w:fill="7030A0"/>
            <w:noWrap/>
            <w:vAlign w:val="center"/>
            <w:hideMark/>
          </w:tcPr>
          <w:p w:rsidR="00FC54BF" w:rsidRPr="005C4E27" w:rsidRDefault="00FC54BF" w:rsidP="0032246B">
            <w:pPr>
              <w:spacing w:after="0" w:line="240" w:lineRule="auto"/>
              <w:jc w:val="center"/>
              <w:rPr>
                <w:rFonts w:eastAsia="Times New Roman" w:cs="Arial"/>
                <w:b/>
                <w:color w:val="FFFFFF" w:themeColor="background1"/>
                <w:sz w:val="18"/>
                <w:szCs w:val="18"/>
                <w:lang w:eastAsia="en-AU"/>
              </w:rPr>
            </w:pPr>
            <w:r w:rsidRPr="005C4E27">
              <w:rPr>
                <w:rFonts w:eastAsia="Times New Roman" w:cs="Arial"/>
                <w:b/>
                <w:color w:val="FFFFFF" w:themeColor="background1"/>
                <w:sz w:val="18"/>
                <w:szCs w:val="18"/>
                <w:lang w:eastAsia="en-AU"/>
              </w:rPr>
              <w:t>Robust</w:t>
            </w:r>
          </w:p>
        </w:tc>
        <w:tc>
          <w:tcPr>
            <w:tcW w:w="1805" w:type="dxa"/>
            <w:gridSpan w:val="2"/>
            <w:tcBorders>
              <w:top w:val="single" w:sz="4" w:space="0" w:color="7030A0"/>
              <w:left w:val="single" w:sz="4" w:space="0" w:color="FFFFFF" w:themeColor="background1"/>
              <w:bottom w:val="single" w:sz="4" w:space="0" w:color="FFFFFF" w:themeColor="background1"/>
              <w:right w:val="single" w:sz="4" w:space="0" w:color="FFFFFF" w:themeColor="background1"/>
            </w:tcBorders>
            <w:shd w:val="clear" w:color="auto" w:fill="7030A0"/>
            <w:noWrap/>
            <w:vAlign w:val="center"/>
            <w:hideMark/>
          </w:tcPr>
          <w:p w:rsidR="00FC54BF" w:rsidRPr="001A4824" w:rsidRDefault="00FC54BF" w:rsidP="0032246B">
            <w:pPr>
              <w:spacing w:after="0" w:line="240" w:lineRule="auto"/>
              <w:jc w:val="center"/>
              <w:rPr>
                <w:rFonts w:eastAsia="Times New Roman" w:cs="Arial"/>
                <w:b/>
                <w:color w:val="FFFFFF" w:themeColor="background1"/>
                <w:sz w:val="18"/>
                <w:szCs w:val="18"/>
                <w:lang w:eastAsia="en-AU"/>
              </w:rPr>
            </w:pPr>
            <w:r w:rsidRPr="005C4E27">
              <w:rPr>
                <w:rFonts w:eastAsia="Times New Roman" w:cs="Arial"/>
                <w:b/>
                <w:color w:val="FFFFFF" w:themeColor="background1"/>
                <w:sz w:val="18"/>
                <w:szCs w:val="18"/>
                <w:lang w:eastAsia="en-AU"/>
              </w:rPr>
              <w:t xml:space="preserve">High </w:t>
            </w:r>
            <w:r>
              <w:rPr>
                <w:rFonts w:eastAsia="Times New Roman" w:cs="Arial"/>
                <w:b/>
                <w:color w:val="FFFFFF" w:themeColor="background1"/>
                <w:sz w:val="18"/>
                <w:szCs w:val="18"/>
                <w:lang w:eastAsia="en-AU"/>
              </w:rPr>
              <w:t>P</w:t>
            </w:r>
            <w:r w:rsidRPr="001A4824">
              <w:rPr>
                <w:rFonts w:eastAsia="Times New Roman" w:cs="Arial"/>
                <w:b/>
                <w:color w:val="FFFFFF" w:themeColor="background1"/>
                <w:sz w:val="18"/>
                <w:szCs w:val="18"/>
                <w:lang w:eastAsia="en-AU"/>
              </w:rPr>
              <w:t xml:space="preserve">hysical </w:t>
            </w:r>
            <w:r>
              <w:rPr>
                <w:rFonts w:eastAsia="Times New Roman" w:cs="Arial"/>
                <w:b/>
                <w:color w:val="FFFFFF" w:themeColor="background1"/>
                <w:sz w:val="18"/>
                <w:szCs w:val="18"/>
                <w:lang w:eastAsia="en-AU"/>
              </w:rPr>
              <w:t>S</w:t>
            </w:r>
            <w:r w:rsidRPr="001A4824">
              <w:rPr>
                <w:rFonts w:eastAsia="Times New Roman" w:cs="Arial"/>
                <w:b/>
                <w:color w:val="FFFFFF" w:themeColor="background1"/>
                <w:sz w:val="18"/>
                <w:szCs w:val="18"/>
                <w:lang w:eastAsia="en-AU"/>
              </w:rPr>
              <w:t>upport</w:t>
            </w:r>
          </w:p>
        </w:tc>
        <w:tc>
          <w:tcPr>
            <w:tcW w:w="1328" w:type="dxa"/>
            <w:vMerge w:val="restart"/>
            <w:tcBorders>
              <w:top w:val="single" w:sz="4" w:space="0" w:color="7030A0"/>
              <w:left w:val="single" w:sz="4" w:space="0" w:color="FFFFFF" w:themeColor="background1"/>
              <w:bottom w:val="single" w:sz="4" w:space="0" w:color="7030A0"/>
              <w:right w:val="single" w:sz="4" w:space="0" w:color="7030A0"/>
            </w:tcBorders>
            <w:shd w:val="clear" w:color="auto" w:fill="7030A0"/>
            <w:noWrap/>
            <w:vAlign w:val="center"/>
            <w:hideMark/>
          </w:tcPr>
          <w:p w:rsidR="00FC54BF" w:rsidRPr="001A4824" w:rsidRDefault="00FC54BF" w:rsidP="0032246B">
            <w:pPr>
              <w:spacing w:after="0" w:line="240" w:lineRule="auto"/>
              <w:jc w:val="center"/>
              <w:rPr>
                <w:rFonts w:eastAsia="Times New Roman" w:cs="Arial"/>
                <w:b/>
                <w:color w:val="FFFFFF" w:themeColor="background1"/>
                <w:sz w:val="18"/>
                <w:szCs w:val="18"/>
                <w:lang w:eastAsia="en-AU"/>
              </w:rPr>
            </w:pPr>
            <w:r w:rsidRPr="001A4824">
              <w:rPr>
                <w:rFonts w:eastAsia="Times New Roman" w:cs="Arial"/>
                <w:b/>
                <w:color w:val="FFFFFF" w:themeColor="background1"/>
                <w:sz w:val="18"/>
                <w:szCs w:val="18"/>
                <w:lang w:eastAsia="en-AU"/>
              </w:rPr>
              <w:t>Innovation</w:t>
            </w:r>
          </w:p>
        </w:tc>
      </w:tr>
      <w:tr w:rsidR="00FC54BF" w:rsidRPr="005C4E27" w:rsidTr="0032246B">
        <w:trPr>
          <w:trHeight w:val="334"/>
        </w:trPr>
        <w:tc>
          <w:tcPr>
            <w:tcW w:w="3241" w:type="dxa"/>
            <w:vMerge/>
            <w:tcBorders>
              <w:top w:val="single" w:sz="4" w:space="0" w:color="7030A0"/>
              <w:left w:val="single" w:sz="4" w:space="0" w:color="7030A0"/>
              <w:bottom w:val="single" w:sz="4" w:space="0" w:color="7030A0"/>
              <w:right w:val="single" w:sz="4" w:space="0" w:color="FFFFFF" w:themeColor="background1"/>
            </w:tcBorders>
            <w:shd w:val="clear" w:color="auto" w:fill="auto"/>
            <w:noWrap/>
            <w:vAlign w:val="center"/>
            <w:hideMark/>
          </w:tcPr>
          <w:p w:rsidR="00FC54BF" w:rsidRPr="005C4E27" w:rsidRDefault="00FC54BF" w:rsidP="0032246B">
            <w:pPr>
              <w:spacing w:after="0" w:line="240" w:lineRule="auto"/>
              <w:rPr>
                <w:rFonts w:eastAsia="Times New Roman" w:cs="Arial"/>
                <w:color w:val="000000"/>
                <w:sz w:val="18"/>
                <w:szCs w:val="18"/>
                <w:lang w:eastAsia="en-AU"/>
              </w:rPr>
            </w:pPr>
          </w:p>
        </w:tc>
        <w:tc>
          <w:tcPr>
            <w:tcW w:w="867" w:type="dxa"/>
            <w:vMerge/>
            <w:tcBorders>
              <w:top w:val="single" w:sz="4" w:space="0" w:color="FFFFFF" w:themeColor="background1"/>
              <w:left w:val="single" w:sz="4" w:space="0" w:color="FFFFFF" w:themeColor="background1"/>
              <w:bottom w:val="single" w:sz="4" w:space="0" w:color="7030A0"/>
              <w:right w:val="single" w:sz="4" w:space="0" w:color="FFFFFF" w:themeColor="background1"/>
            </w:tcBorders>
            <w:vAlign w:val="center"/>
          </w:tcPr>
          <w:p w:rsidR="00FC54BF" w:rsidRPr="005C4E27" w:rsidRDefault="00FC54BF" w:rsidP="0032246B">
            <w:pPr>
              <w:spacing w:after="0" w:line="240" w:lineRule="auto"/>
              <w:jc w:val="center"/>
              <w:rPr>
                <w:rFonts w:eastAsia="Times New Roman" w:cs="Arial"/>
                <w:color w:val="000000"/>
                <w:sz w:val="18"/>
                <w:szCs w:val="18"/>
                <w:lang w:eastAsia="en-AU"/>
              </w:rPr>
            </w:pPr>
          </w:p>
        </w:tc>
        <w:tc>
          <w:tcPr>
            <w:tcW w:w="937"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FC54BF" w:rsidRPr="005C4E27" w:rsidRDefault="00FC54BF" w:rsidP="0032246B">
            <w:pPr>
              <w:spacing w:after="0" w:line="240" w:lineRule="auto"/>
              <w:jc w:val="center"/>
              <w:rPr>
                <w:rFonts w:eastAsia="Times New Roman" w:cs="Arial"/>
                <w:b/>
                <w:color w:val="FFFFFF" w:themeColor="background1"/>
                <w:sz w:val="18"/>
                <w:szCs w:val="18"/>
                <w:lang w:eastAsia="en-AU"/>
              </w:rPr>
            </w:pPr>
            <w:r w:rsidRPr="005C4E27">
              <w:rPr>
                <w:rFonts w:eastAsia="Times New Roman" w:cs="Arial"/>
                <w:b/>
                <w:color w:val="FFFFFF" w:themeColor="background1"/>
                <w:sz w:val="18"/>
                <w:szCs w:val="18"/>
                <w:lang w:eastAsia="en-AU"/>
              </w:rPr>
              <w:t>No OOA</w:t>
            </w:r>
          </w:p>
        </w:tc>
        <w:tc>
          <w:tcPr>
            <w:tcW w:w="937"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FC54BF" w:rsidRPr="005C4E27" w:rsidRDefault="00FC54BF" w:rsidP="0032246B">
            <w:pPr>
              <w:spacing w:after="0" w:line="240" w:lineRule="auto"/>
              <w:jc w:val="center"/>
              <w:rPr>
                <w:rFonts w:eastAsia="Times New Roman" w:cs="Arial"/>
                <w:b/>
                <w:color w:val="FFFFFF" w:themeColor="background1"/>
                <w:sz w:val="18"/>
                <w:szCs w:val="18"/>
                <w:lang w:eastAsia="en-AU"/>
              </w:rPr>
            </w:pPr>
            <w:r w:rsidRPr="005C4E27">
              <w:rPr>
                <w:rFonts w:eastAsia="Times New Roman" w:cs="Arial"/>
                <w:b/>
                <w:color w:val="FFFFFF" w:themeColor="background1"/>
                <w:sz w:val="18"/>
                <w:szCs w:val="18"/>
                <w:lang w:eastAsia="en-AU"/>
              </w:rPr>
              <w:t>With OOA</w:t>
            </w:r>
          </w:p>
        </w:tc>
        <w:tc>
          <w:tcPr>
            <w:tcW w:w="938"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FC54BF" w:rsidRPr="005C4E27" w:rsidRDefault="00FC54BF" w:rsidP="0032246B">
            <w:pPr>
              <w:spacing w:after="0" w:line="240" w:lineRule="auto"/>
              <w:jc w:val="center"/>
              <w:rPr>
                <w:rFonts w:eastAsia="Times New Roman" w:cs="Arial"/>
                <w:b/>
                <w:color w:val="FFFFFF" w:themeColor="background1"/>
                <w:sz w:val="18"/>
                <w:szCs w:val="18"/>
                <w:lang w:eastAsia="en-AU"/>
              </w:rPr>
            </w:pPr>
            <w:r w:rsidRPr="005C4E27">
              <w:rPr>
                <w:rFonts w:eastAsia="Times New Roman" w:cs="Arial"/>
                <w:b/>
                <w:color w:val="FFFFFF" w:themeColor="background1"/>
                <w:sz w:val="18"/>
                <w:szCs w:val="18"/>
                <w:lang w:eastAsia="en-AU"/>
              </w:rPr>
              <w:t>No OOA</w:t>
            </w:r>
          </w:p>
        </w:tc>
        <w:tc>
          <w:tcPr>
            <w:tcW w:w="1011"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FC54BF" w:rsidRPr="005C4E27" w:rsidRDefault="00FC54BF" w:rsidP="0032246B">
            <w:pPr>
              <w:spacing w:after="0" w:line="240" w:lineRule="auto"/>
              <w:jc w:val="center"/>
              <w:rPr>
                <w:rFonts w:eastAsia="Times New Roman" w:cs="Arial"/>
                <w:b/>
                <w:color w:val="FFFFFF" w:themeColor="background1"/>
                <w:sz w:val="18"/>
                <w:szCs w:val="18"/>
                <w:lang w:eastAsia="en-AU"/>
              </w:rPr>
            </w:pPr>
            <w:r w:rsidRPr="005C4E27">
              <w:rPr>
                <w:rFonts w:eastAsia="Times New Roman" w:cs="Arial"/>
                <w:b/>
                <w:color w:val="FFFFFF" w:themeColor="background1"/>
                <w:sz w:val="18"/>
                <w:szCs w:val="18"/>
                <w:lang w:eastAsia="en-AU"/>
              </w:rPr>
              <w:t>With OOA</w:t>
            </w:r>
          </w:p>
        </w:tc>
        <w:tc>
          <w:tcPr>
            <w:tcW w:w="867"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FC54BF" w:rsidRPr="005C4E27" w:rsidRDefault="00FC54BF" w:rsidP="0032246B">
            <w:pPr>
              <w:spacing w:after="0" w:line="240" w:lineRule="auto"/>
              <w:jc w:val="center"/>
              <w:rPr>
                <w:rFonts w:eastAsia="Times New Roman" w:cs="Arial"/>
                <w:b/>
                <w:color w:val="FFFFFF" w:themeColor="background1"/>
                <w:sz w:val="18"/>
                <w:szCs w:val="18"/>
                <w:lang w:eastAsia="en-AU"/>
              </w:rPr>
            </w:pPr>
            <w:r w:rsidRPr="005C4E27">
              <w:rPr>
                <w:rFonts w:eastAsia="Times New Roman" w:cs="Arial"/>
                <w:b/>
                <w:color w:val="FFFFFF" w:themeColor="background1"/>
                <w:sz w:val="18"/>
                <w:szCs w:val="18"/>
                <w:lang w:eastAsia="en-AU"/>
              </w:rPr>
              <w:t>No OOA</w:t>
            </w:r>
          </w:p>
        </w:tc>
        <w:tc>
          <w:tcPr>
            <w:tcW w:w="938"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FC54BF" w:rsidRPr="005C4E27" w:rsidRDefault="00FC54BF" w:rsidP="0032246B">
            <w:pPr>
              <w:spacing w:after="0" w:line="240" w:lineRule="auto"/>
              <w:jc w:val="center"/>
              <w:rPr>
                <w:rFonts w:eastAsia="Times New Roman" w:cs="Arial"/>
                <w:b/>
                <w:color w:val="FFFFFF" w:themeColor="background1"/>
                <w:sz w:val="18"/>
                <w:szCs w:val="18"/>
                <w:lang w:eastAsia="en-AU"/>
              </w:rPr>
            </w:pPr>
            <w:r w:rsidRPr="005C4E27">
              <w:rPr>
                <w:rFonts w:eastAsia="Times New Roman" w:cs="Arial"/>
                <w:b/>
                <w:color w:val="FFFFFF" w:themeColor="background1"/>
                <w:sz w:val="18"/>
                <w:szCs w:val="18"/>
                <w:lang w:eastAsia="en-AU"/>
              </w:rPr>
              <w:t>With OOA</w:t>
            </w:r>
          </w:p>
        </w:tc>
        <w:tc>
          <w:tcPr>
            <w:tcW w:w="1079"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FC54BF" w:rsidRPr="005C4E27" w:rsidRDefault="00FC54BF" w:rsidP="0032246B">
            <w:pPr>
              <w:spacing w:after="0" w:line="240" w:lineRule="auto"/>
              <w:jc w:val="center"/>
              <w:rPr>
                <w:rFonts w:eastAsia="Times New Roman" w:cs="Arial"/>
                <w:b/>
                <w:color w:val="FFFFFF" w:themeColor="background1"/>
                <w:sz w:val="18"/>
                <w:szCs w:val="18"/>
                <w:lang w:eastAsia="en-AU"/>
              </w:rPr>
            </w:pPr>
            <w:r w:rsidRPr="005C4E27">
              <w:rPr>
                <w:rFonts w:eastAsia="Times New Roman" w:cs="Arial"/>
                <w:b/>
                <w:color w:val="FFFFFF" w:themeColor="background1"/>
                <w:sz w:val="18"/>
                <w:szCs w:val="18"/>
                <w:lang w:eastAsia="en-AU"/>
              </w:rPr>
              <w:t>+1 Room</w:t>
            </w:r>
          </w:p>
        </w:tc>
        <w:tc>
          <w:tcPr>
            <w:tcW w:w="938"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FC54BF" w:rsidRPr="005C4E27" w:rsidRDefault="00FC54BF" w:rsidP="0032246B">
            <w:pPr>
              <w:spacing w:after="0" w:line="240" w:lineRule="auto"/>
              <w:jc w:val="center"/>
              <w:rPr>
                <w:rFonts w:eastAsia="Times New Roman" w:cs="Arial"/>
                <w:b/>
                <w:color w:val="FFFFFF" w:themeColor="background1"/>
                <w:sz w:val="18"/>
                <w:szCs w:val="18"/>
                <w:lang w:eastAsia="en-AU"/>
              </w:rPr>
            </w:pPr>
            <w:r w:rsidRPr="005C4E27">
              <w:rPr>
                <w:rFonts w:eastAsia="Times New Roman" w:cs="Arial"/>
                <w:b/>
                <w:color w:val="FFFFFF" w:themeColor="background1"/>
                <w:sz w:val="18"/>
                <w:szCs w:val="18"/>
                <w:lang w:eastAsia="en-AU"/>
              </w:rPr>
              <w:t>No OOA</w:t>
            </w:r>
          </w:p>
        </w:tc>
        <w:tc>
          <w:tcPr>
            <w:tcW w:w="867"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FC54BF" w:rsidRPr="005C4E27" w:rsidRDefault="00FC54BF" w:rsidP="0032246B">
            <w:pPr>
              <w:spacing w:after="0" w:line="240" w:lineRule="auto"/>
              <w:jc w:val="center"/>
              <w:rPr>
                <w:rFonts w:eastAsia="Times New Roman" w:cs="Arial"/>
                <w:b/>
                <w:color w:val="FFFFFF" w:themeColor="background1"/>
                <w:sz w:val="18"/>
                <w:szCs w:val="18"/>
                <w:lang w:eastAsia="en-AU"/>
              </w:rPr>
            </w:pPr>
            <w:r w:rsidRPr="005C4E27">
              <w:rPr>
                <w:rFonts w:eastAsia="Times New Roman" w:cs="Arial"/>
                <w:b/>
                <w:color w:val="FFFFFF" w:themeColor="background1"/>
                <w:sz w:val="18"/>
                <w:szCs w:val="18"/>
                <w:lang w:eastAsia="en-AU"/>
              </w:rPr>
              <w:t>With OOA</w:t>
            </w:r>
          </w:p>
        </w:tc>
        <w:tc>
          <w:tcPr>
            <w:tcW w:w="1328" w:type="dxa"/>
            <w:vMerge/>
            <w:tcBorders>
              <w:top w:val="single" w:sz="4" w:space="0" w:color="FFFFFF" w:themeColor="background1"/>
              <w:left w:val="single" w:sz="4" w:space="0" w:color="FFFFFF" w:themeColor="background1"/>
              <w:bottom w:val="single" w:sz="4" w:space="0" w:color="7030A0"/>
              <w:right w:val="single" w:sz="4" w:space="0" w:color="7030A0"/>
            </w:tcBorders>
            <w:shd w:val="clear" w:color="auto" w:fill="7030A0"/>
            <w:noWrap/>
            <w:vAlign w:val="center"/>
            <w:hideMark/>
          </w:tcPr>
          <w:p w:rsidR="00FC54BF" w:rsidRPr="005C4E27" w:rsidRDefault="00FC54BF" w:rsidP="0032246B">
            <w:pPr>
              <w:spacing w:after="0" w:line="240" w:lineRule="auto"/>
              <w:jc w:val="center"/>
              <w:rPr>
                <w:rFonts w:eastAsia="Times New Roman" w:cs="Arial"/>
                <w:color w:val="FFFFFF" w:themeColor="background1"/>
                <w:sz w:val="18"/>
                <w:szCs w:val="18"/>
                <w:lang w:eastAsia="en-AU"/>
              </w:rPr>
            </w:pPr>
          </w:p>
        </w:tc>
      </w:tr>
      <w:tr w:rsidR="00FC54BF" w:rsidRPr="005C4E27" w:rsidTr="0032246B">
        <w:trPr>
          <w:trHeight w:val="334"/>
        </w:trPr>
        <w:tc>
          <w:tcPr>
            <w:tcW w:w="3241" w:type="dxa"/>
            <w:tcBorders>
              <w:top w:val="single" w:sz="4" w:space="0" w:color="7030A0"/>
              <w:left w:val="single" w:sz="4" w:space="0" w:color="7030A0"/>
              <w:bottom w:val="single" w:sz="4" w:space="0" w:color="7030A0"/>
            </w:tcBorders>
            <w:shd w:val="clear" w:color="auto" w:fill="auto"/>
            <w:noWrap/>
            <w:vAlign w:val="center"/>
          </w:tcPr>
          <w:p w:rsidR="00FC54BF" w:rsidRPr="007B7D09" w:rsidRDefault="00FC54BF" w:rsidP="0032246B">
            <w:pPr>
              <w:spacing w:after="0" w:line="240" w:lineRule="auto"/>
              <w:rPr>
                <w:rFonts w:eastAsia="Times New Roman" w:cs="Arial"/>
                <w:color w:val="000000"/>
                <w:sz w:val="18"/>
                <w:szCs w:val="18"/>
                <w:lang w:eastAsia="en-AU"/>
              </w:rPr>
            </w:pPr>
            <w:r w:rsidRPr="007B7D09">
              <w:rPr>
                <w:rFonts w:eastAsia="Times New Roman" w:cs="Arial"/>
                <w:color w:val="000000"/>
                <w:sz w:val="18"/>
                <w:szCs w:val="18"/>
                <w:lang w:eastAsia="en-AU"/>
              </w:rPr>
              <w:t>Apartment, 1 bedroom, 1 resident</w:t>
            </w:r>
          </w:p>
        </w:tc>
        <w:tc>
          <w:tcPr>
            <w:tcW w:w="867" w:type="dxa"/>
            <w:tcBorders>
              <w:top w:val="single" w:sz="4" w:space="0" w:color="7030A0"/>
              <w:bottom w:val="single" w:sz="4" w:space="0" w:color="7030A0"/>
            </w:tcBorders>
            <w:vAlign w:val="center"/>
          </w:tcPr>
          <w:p w:rsidR="00FC54BF" w:rsidRPr="007B7D09" w:rsidRDefault="00FC54BF" w:rsidP="0032246B">
            <w:pPr>
              <w:spacing w:after="0"/>
              <w:jc w:val="center"/>
              <w:rPr>
                <w:rFonts w:cs="Arial"/>
                <w:sz w:val="18"/>
                <w:szCs w:val="18"/>
              </w:rPr>
            </w:pPr>
            <w:r w:rsidRPr="009655D6">
              <w:rPr>
                <w:rFonts w:cs="Arial"/>
                <w:sz w:val="18"/>
                <w:szCs w:val="18"/>
              </w:rPr>
              <w:t>$18,837</w:t>
            </w:r>
          </w:p>
        </w:tc>
        <w:tc>
          <w:tcPr>
            <w:tcW w:w="93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$19,255</w:t>
            </w:r>
          </w:p>
        </w:tc>
        <w:tc>
          <w:tcPr>
            <w:tcW w:w="93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$22,464</w:t>
            </w:r>
          </w:p>
        </w:tc>
        <w:tc>
          <w:tcPr>
            <w:tcW w:w="938"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$32,688</w:t>
            </w:r>
          </w:p>
        </w:tc>
        <w:tc>
          <w:tcPr>
            <w:tcW w:w="1011"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$38,136</w:t>
            </w:r>
          </w:p>
        </w:tc>
        <w:tc>
          <w:tcPr>
            <w:tcW w:w="86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na</w:t>
            </w:r>
          </w:p>
        </w:tc>
        <w:tc>
          <w:tcPr>
            <w:tcW w:w="938"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na</w:t>
            </w:r>
          </w:p>
        </w:tc>
        <w:tc>
          <w:tcPr>
            <w:tcW w:w="1079"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na</w:t>
            </w:r>
          </w:p>
        </w:tc>
        <w:tc>
          <w:tcPr>
            <w:tcW w:w="938"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$50,893</w:t>
            </w:r>
          </w:p>
        </w:tc>
        <w:tc>
          <w:tcPr>
            <w:tcW w:w="86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$59,375</w:t>
            </w:r>
          </w:p>
        </w:tc>
        <w:tc>
          <w:tcPr>
            <w:tcW w:w="1328" w:type="dxa"/>
            <w:vMerge w:val="restart"/>
            <w:tcBorders>
              <w:top w:val="single" w:sz="4" w:space="0" w:color="7030A0"/>
              <w:bottom w:val="single" w:sz="4" w:space="0" w:color="7030A0"/>
              <w:right w:val="single" w:sz="4" w:space="0" w:color="7030A0"/>
            </w:tcBorders>
            <w:shd w:val="clear" w:color="auto" w:fill="auto"/>
            <w:vAlign w:val="center"/>
          </w:tcPr>
          <w:p w:rsidR="00FC54BF" w:rsidRPr="004C01F6" w:rsidRDefault="00FC54BF" w:rsidP="00864710">
            <w:pPr>
              <w:spacing w:after="0" w:line="240" w:lineRule="auto"/>
              <w:jc w:val="center"/>
              <w:rPr>
                <w:rFonts w:eastAsia="Times New Roman" w:cs="Arial"/>
                <w:color w:val="000000"/>
                <w:sz w:val="18"/>
                <w:szCs w:val="18"/>
                <w:lang w:eastAsia="en-AU"/>
              </w:rPr>
            </w:pPr>
            <w:r w:rsidRPr="004C01F6">
              <w:rPr>
                <w:rFonts w:eastAsia="Times New Roman" w:cs="Arial"/>
                <w:color w:val="000000"/>
                <w:sz w:val="18"/>
                <w:szCs w:val="18"/>
                <w:lang w:eastAsia="en-AU"/>
              </w:rPr>
              <w:t xml:space="preserve">Funded as trials and/or new </w:t>
            </w:r>
            <w:r w:rsidR="00864710">
              <w:rPr>
                <w:rFonts w:eastAsia="Times New Roman" w:cs="Arial"/>
                <w:color w:val="000000"/>
                <w:sz w:val="18"/>
                <w:szCs w:val="18"/>
                <w:lang w:eastAsia="en-AU"/>
              </w:rPr>
              <w:t>D</w:t>
            </w:r>
            <w:r w:rsidRPr="004C01F6">
              <w:rPr>
                <w:rFonts w:eastAsia="Times New Roman" w:cs="Arial"/>
                <w:color w:val="000000"/>
                <w:sz w:val="18"/>
                <w:szCs w:val="18"/>
                <w:lang w:eastAsia="en-AU"/>
              </w:rPr>
              <w:t xml:space="preserve">esign </w:t>
            </w:r>
            <w:r w:rsidR="00864710">
              <w:rPr>
                <w:rFonts w:eastAsia="Times New Roman" w:cs="Arial"/>
                <w:color w:val="000000"/>
                <w:sz w:val="18"/>
                <w:szCs w:val="18"/>
                <w:lang w:eastAsia="en-AU"/>
              </w:rPr>
              <w:t>C</w:t>
            </w:r>
            <w:r w:rsidRPr="004C01F6">
              <w:rPr>
                <w:rFonts w:eastAsia="Times New Roman" w:cs="Arial"/>
                <w:color w:val="000000"/>
                <w:sz w:val="18"/>
                <w:szCs w:val="18"/>
                <w:lang w:eastAsia="en-AU"/>
              </w:rPr>
              <w:t>ategories added over time.</w:t>
            </w:r>
          </w:p>
        </w:tc>
      </w:tr>
      <w:tr w:rsidR="00FC54BF" w:rsidRPr="005C4E27" w:rsidTr="0032246B">
        <w:trPr>
          <w:trHeight w:val="334"/>
        </w:trPr>
        <w:tc>
          <w:tcPr>
            <w:tcW w:w="3241" w:type="dxa"/>
            <w:tcBorders>
              <w:top w:val="single" w:sz="4" w:space="0" w:color="7030A0"/>
              <w:left w:val="single" w:sz="4" w:space="0" w:color="7030A0"/>
              <w:bottom w:val="single" w:sz="4" w:space="0" w:color="7030A0"/>
            </w:tcBorders>
            <w:shd w:val="clear" w:color="auto" w:fill="auto"/>
            <w:noWrap/>
            <w:vAlign w:val="center"/>
            <w:hideMark/>
          </w:tcPr>
          <w:p w:rsidR="00FC54BF" w:rsidRPr="004C01F6" w:rsidRDefault="00FC54BF" w:rsidP="0032246B">
            <w:pPr>
              <w:spacing w:after="0" w:line="240" w:lineRule="auto"/>
              <w:rPr>
                <w:rFonts w:eastAsia="Times New Roman" w:cs="Arial"/>
                <w:color w:val="000000"/>
                <w:sz w:val="18"/>
                <w:szCs w:val="18"/>
                <w:lang w:eastAsia="en-AU"/>
              </w:rPr>
            </w:pPr>
            <w:r w:rsidRPr="007B7D09">
              <w:rPr>
                <w:rFonts w:eastAsia="Times New Roman" w:cs="Arial"/>
                <w:color w:val="000000"/>
                <w:sz w:val="18"/>
                <w:szCs w:val="18"/>
                <w:lang w:eastAsia="en-AU"/>
              </w:rPr>
              <w:t>Apart</w:t>
            </w:r>
            <w:r w:rsidRPr="004C01F6">
              <w:rPr>
                <w:rFonts w:eastAsia="Times New Roman" w:cs="Arial"/>
                <w:color w:val="000000"/>
                <w:sz w:val="18"/>
                <w:szCs w:val="18"/>
                <w:lang w:eastAsia="en-AU"/>
              </w:rPr>
              <w:t>ment, 2 bedrooms, 1 resident</w:t>
            </w:r>
          </w:p>
        </w:tc>
        <w:tc>
          <w:tcPr>
            <w:tcW w:w="867" w:type="dxa"/>
            <w:tcBorders>
              <w:top w:val="single" w:sz="4" w:space="0" w:color="7030A0"/>
              <w:bottom w:val="single" w:sz="4" w:space="0" w:color="7030A0"/>
            </w:tcBorders>
            <w:vAlign w:val="center"/>
          </w:tcPr>
          <w:p w:rsidR="00FC54BF" w:rsidRPr="007B7D09" w:rsidRDefault="00FC54BF" w:rsidP="0032246B">
            <w:pPr>
              <w:spacing w:after="0"/>
              <w:jc w:val="center"/>
              <w:rPr>
                <w:rFonts w:cs="Arial"/>
                <w:sz w:val="18"/>
                <w:szCs w:val="18"/>
              </w:rPr>
            </w:pPr>
            <w:r w:rsidRPr="009655D6">
              <w:rPr>
                <w:rFonts w:cs="Arial"/>
                <w:sz w:val="18"/>
                <w:szCs w:val="18"/>
              </w:rPr>
              <w:t>$24,878</w:t>
            </w:r>
          </w:p>
        </w:tc>
        <w:tc>
          <w:tcPr>
            <w:tcW w:w="93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$25,389</w:t>
            </w:r>
          </w:p>
        </w:tc>
        <w:tc>
          <w:tcPr>
            <w:tcW w:w="93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$29,620</w:t>
            </w:r>
          </w:p>
        </w:tc>
        <w:tc>
          <w:tcPr>
            <w:tcW w:w="938"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$42,459</w:t>
            </w:r>
          </w:p>
        </w:tc>
        <w:tc>
          <w:tcPr>
            <w:tcW w:w="1011"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$49,536</w:t>
            </w:r>
          </w:p>
        </w:tc>
        <w:tc>
          <w:tcPr>
            <w:tcW w:w="86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na</w:t>
            </w:r>
          </w:p>
        </w:tc>
        <w:tc>
          <w:tcPr>
            <w:tcW w:w="938"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na</w:t>
            </w:r>
          </w:p>
        </w:tc>
        <w:tc>
          <w:tcPr>
            <w:tcW w:w="1079"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na</w:t>
            </w:r>
          </w:p>
        </w:tc>
        <w:tc>
          <w:tcPr>
            <w:tcW w:w="938"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$66,182</w:t>
            </w:r>
          </w:p>
        </w:tc>
        <w:tc>
          <w:tcPr>
            <w:tcW w:w="86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$77,213</w:t>
            </w:r>
          </w:p>
        </w:tc>
        <w:tc>
          <w:tcPr>
            <w:tcW w:w="1328" w:type="dxa"/>
            <w:vMerge/>
            <w:tcBorders>
              <w:top w:val="single" w:sz="4" w:space="0" w:color="7030A0"/>
              <w:bottom w:val="single" w:sz="4" w:space="0" w:color="7030A0"/>
              <w:right w:val="single" w:sz="4" w:space="0" w:color="7030A0"/>
            </w:tcBorders>
            <w:shd w:val="clear" w:color="auto" w:fill="auto"/>
            <w:vAlign w:val="center"/>
            <w:hideMark/>
          </w:tcPr>
          <w:p w:rsidR="00FC54BF" w:rsidRPr="005C4E27" w:rsidRDefault="00FC54BF" w:rsidP="0032246B">
            <w:pPr>
              <w:spacing w:after="0" w:line="240" w:lineRule="auto"/>
              <w:jc w:val="center"/>
              <w:rPr>
                <w:rFonts w:asciiTheme="minorHAnsi" w:eastAsia="Times New Roman" w:hAnsiTheme="minorHAnsi" w:cs="Times New Roman"/>
                <w:color w:val="000000"/>
                <w:lang w:eastAsia="en-AU"/>
              </w:rPr>
            </w:pPr>
          </w:p>
        </w:tc>
      </w:tr>
      <w:tr w:rsidR="002B3182" w:rsidRPr="005C4E27" w:rsidTr="00710D25">
        <w:trPr>
          <w:trHeight w:val="334"/>
        </w:trPr>
        <w:tc>
          <w:tcPr>
            <w:tcW w:w="3241" w:type="dxa"/>
            <w:tcBorders>
              <w:top w:val="single" w:sz="4" w:space="0" w:color="7030A0"/>
              <w:left w:val="single" w:sz="4" w:space="0" w:color="7030A0"/>
              <w:bottom w:val="single" w:sz="4" w:space="0" w:color="7030A0"/>
            </w:tcBorders>
            <w:shd w:val="clear" w:color="auto" w:fill="auto"/>
            <w:noWrap/>
            <w:vAlign w:val="bottom"/>
          </w:tcPr>
          <w:p w:rsidR="002B3182" w:rsidRPr="007B7D09" w:rsidRDefault="002B3182" w:rsidP="002B3182">
            <w:pPr>
              <w:spacing w:after="0" w:line="240" w:lineRule="auto"/>
              <w:rPr>
                <w:rFonts w:eastAsia="Times New Roman" w:cs="Arial"/>
                <w:color w:val="000000"/>
                <w:sz w:val="18"/>
                <w:szCs w:val="18"/>
                <w:lang w:eastAsia="en-AU"/>
              </w:rPr>
            </w:pPr>
            <w:r>
              <w:rPr>
                <w:color w:val="000000"/>
                <w:sz w:val="18"/>
                <w:szCs w:val="18"/>
                <w:lang w:eastAsia="en-AU"/>
              </w:rPr>
              <w:t>Apartment, 2 bedroom, 2 residents</w:t>
            </w:r>
          </w:p>
        </w:tc>
        <w:tc>
          <w:tcPr>
            <w:tcW w:w="867" w:type="dxa"/>
            <w:tcBorders>
              <w:top w:val="single" w:sz="4" w:space="0" w:color="7030A0"/>
              <w:bottom w:val="single" w:sz="4" w:space="0" w:color="7030A0"/>
            </w:tcBorders>
          </w:tcPr>
          <w:p w:rsidR="002B3182" w:rsidRPr="009655D6" w:rsidRDefault="002B3182" w:rsidP="002B3182">
            <w:pPr>
              <w:spacing w:after="0"/>
              <w:jc w:val="center"/>
              <w:rPr>
                <w:rFonts w:cs="Arial"/>
                <w:sz w:val="18"/>
                <w:szCs w:val="18"/>
              </w:rPr>
            </w:pPr>
            <w:r>
              <w:rPr>
                <w:sz w:val="18"/>
                <w:szCs w:val="18"/>
              </w:rPr>
              <w:t xml:space="preserve">$8,016 </w:t>
            </w:r>
          </w:p>
        </w:tc>
        <w:tc>
          <w:tcPr>
            <w:tcW w:w="937" w:type="dxa"/>
            <w:tcBorders>
              <w:top w:val="single" w:sz="4" w:space="0" w:color="7030A0"/>
              <w:bottom w:val="single" w:sz="4" w:space="0" w:color="7030A0"/>
            </w:tcBorders>
            <w:shd w:val="clear" w:color="auto" w:fill="auto"/>
            <w:noWrap/>
          </w:tcPr>
          <w:p w:rsidR="002B3182" w:rsidRPr="009655D6" w:rsidRDefault="002B3182" w:rsidP="002B3182">
            <w:pPr>
              <w:spacing w:after="0"/>
              <w:jc w:val="center"/>
              <w:rPr>
                <w:rFonts w:cs="Arial"/>
                <w:sz w:val="18"/>
                <w:szCs w:val="18"/>
              </w:rPr>
            </w:pPr>
            <w:r>
              <w:rPr>
                <w:sz w:val="18"/>
                <w:szCs w:val="18"/>
              </w:rPr>
              <w:t xml:space="preserve">$8,272 </w:t>
            </w:r>
          </w:p>
        </w:tc>
        <w:tc>
          <w:tcPr>
            <w:tcW w:w="937" w:type="dxa"/>
            <w:tcBorders>
              <w:top w:val="single" w:sz="4" w:space="0" w:color="7030A0"/>
              <w:bottom w:val="single" w:sz="4" w:space="0" w:color="7030A0"/>
            </w:tcBorders>
            <w:shd w:val="clear" w:color="auto" w:fill="auto"/>
            <w:noWrap/>
          </w:tcPr>
          <w:p w:rsidR="002B3182" w:rsidRPr="009655D6" w:rsidRDefault="002B3182" w:rsidP="002B3182">
            <w:pPr>
              <w:spacing w:after="0"/>
              <w:jc w:val="center"/>
              <w:rPr>
                <w:rFonts w:cs="Arial"/>
                <w:sz w:val="18"/>
                <w:szCs w:val="18"/>
              </w:rPr>
            </w:pPr>
            <w:r>
              <w:rPr>
                <w:sz w:val="18"/>
                <w:szCs w:val="18"/>
              </w:rPr>
              <w:t xml:space="preserve">$9,650 </w:t>
            </w:r>
          </w:p>
        </w:tc>
        <w:tc>
          <w:tcPr>
            <w:tcW w:w="938" w:type="dxa"/>
            <w:tcBorders>
              <w:top w:val="single" w:sz="4" w:space="0" w:color="7030A0"/>
              <w:bottom w:val="single" w:sz="4" w:space="0" w:color="7030A0"/>
            </w:tcBorders>
            <w:shd w:val="clear" w:color="auto" w:fill="auto"/>
            <w:noWrap/>
          </w:tcPr>
          <w:p w:rsidR="002B3182" w:rsidRPr="009655D6" w:rsidRDefault="002B3182" w:rsidP="002B3182">
            <w:pPr>
              <w:spacing w:after="0"/>
              <w:jc w:val="center"/>
              <w:rPr>
                <w:rFonts w:cs="Arial"/>
                <w:sz w:val="18"/>
                <w:szCs w:val="18"/>
              </w:rPr>
            </w:pPr>
            <w:r>
              <w:rPr>
                <w:sz w:val="18"/>
                <w:szCs w:val="18"/>
              </w:rPr>
              <w:t xml:space="preserve">$16,807 </w:t>
            </w:r>
          </w:p>
        </w:tc>
        <w:tc>
          <w:tcPr>
            <w:tcW w:w="1011" w:type="dxa"/>
            <w:tcBorders>
              <w:top w:val="single" w:sz="4" w:space="0" w:color="7030A0"/>
              <w:bottom w:val="single" w:sz="4" w:space="0" w:color="7030A0"/>
            </w:tcBorders>
            <w:shd w:val="clear" w:color="auto" w:fill="auto"/>
            <w:noWrap/>
          </w:tcPr>
          <w:p w:rsidR="002B3182" w:rsidRPr="009655D6" w:rsidRDefault="002B3182" w:rsidP="002B3182">
            <w:pPr>
              <w:spacing w:after="0"/>
              <w:jc w:val="center"/>
              <w:rPr>
                <w:rFonts w:cs="Arial"/>
                <w:sz w:val="18"/>
                <w:szCs w:val="18"/>
              </w:rPr>
            </w:pPr>
            <w:r>
              <w:rPr>
                <w:sz w:val="18"/>
                <w:szCs w:val="18"/>
              </w:rPr>
              <w:t xml:space="preserve">$19,608 </w:t>
            </w:r>
          </w:p>
        </w:tc>
        <w:tc>
          <w:tcPr>
            <w:tcW w:w="867" w:type="dxa"/>
            <w:tcBorders>
              <w:top w:val="single" w:sz="4" w:space="0" w:color="7030A0"/>
              <w:bottom w:val="single" w:sz="4" w:space="0" w:color="7030A0"/>
            </w:tcBorders>
            <w:shd w:val="clear" w:color="auto" w:fill="auto"/>
            <w:noWrap/>
          </w:tcPr>
          <w:p w:rsidR="002B3182" w:rsidRPr="009655D6" w:rsidRDefault="002B3182" w:rsidP="002B3182">
            <w:pPr>
              <w:spacing w:after="0"/>
              <w:jc w:val="center"/>
              <w:rPr>
                <w:rFonts w:cs="Arial"/>
                <w:sz w:val="18"/>
                <w:szCs w:val="18"/>
              </w:rPr>
            </w:pPr>
            <w:r>
              <w:rPr>
                <w:sz w:val="18"/>
                <w:szCs w:val="18"/>
              </w:rPr>
              <w:t>na</w:t>
            </w:r>
          </w:p>
        </w:tc>
        <w:tc>
          <w:tcPr>
            <w:tcW w:w="938" w:type="dxa"/>
            <w:tcBorders>
              <w:top w:val="single" w:sz="4" w:space="0" w:color="7030A0"/>
              <w:bottom w:val="single" w:sz="4" w:space="0" w:color="7030A0"/>
            </w:tcBorders>
            <w:shd w:val="clear" w:color="auto" w:fill="auto"/>
            <w:noWrap/>
          </w:tcPr>
          <w:p w:rsidR="002B3182" w:rsidRPr="009655D6" w:rsidRDefault="002B3182" w:rsidP="002B3182">
            <w:pPr>
              <w:spacing w:after="0"/>
              <w:jc w:val="center"/>
              <w:rPr>
                <w:rFonts w:cs="Arial"/>
                <w:sz w:val="18"/>
                <w:szCs w:val="18"/>
              </w:rPr>
            </w:pPr>
            <w:r>
              <w:rPr>
                <w:sz w:val="18"/>
                <w:szCs w:val="18"/>
              </w:rPr>
              <w:t>Na</w:t>
            </w:r>
          </w:p>
        </w:tc>
        <w:tc>
          <w:tcPr>
            <w:tcW w:w="1079" w:type="dxa"/>
            <w:tcBorders>
              <w:top w:val="single" w:sz="4" w:space="0" w:color="7030A0"/>
              <w:bottom w:val="single" w:sz="4" w:space="0" w:color="7030A0"/>
            </w:tcBorders>
            <w:shd w:val="clear" w:color="auto" w:fill="auto"/>
            <w:noWrap/>
          </w:tcPr>
          <w:p w:rsidR="002B3182" w:rsidRPr="009655D6" w:rsidRDefault="002B3182" w:rsidP="002B3182">
            <w:pPr>
              <w:spacing w:after="0"/>
              <w:jc w:val="center"/>
              <w:rPr>
                <w:rFonts w:cs="Arial"/>
                <w:sz w:val="18"/>
                <w:szCs w:val="18"/>
              </w:rPr>
            </w:pPr>
            <w:r>
              <w:rPr>
                <w:sz w:val="18"/>
                <w:szCs w:val="18"/>
              </w:rPr>
              <w:t>na</w:t>
            </w:r>
          </w:p>
        </w:tc>
        <w:tc>
          <w:tcPr>
            <w:tcW w:w="938" w:type="dxa"/>
            <w:tcBorders>
              <w:top w:val="single" w:sz="4" w:space="0" w:color="7030A0"/>
              <w:bottom w:val="single" w:sz="4" w:space="0" w:color="7030A0"/>
            </w:tcBorders>
            <w:shd w:val="clear" w:color="auto" w:fill="auto"/>
            <w:noWrap/>
          </w:tcPr>
          <w:p w:rsidR="002B3182" w:rsidRPr="009655D6" w:rsidRDefault="002B3182" w:rsidP="002B3182">
            <w:pPr>
              <w:spacing w:after="0"/>
              <w:jc w:val="center"/>
              <w:rPr>
                <w:rFonts w:cs="Arial"/>
                <w:sz w:val="18"/>
                <w:szCs w:val="18"/>
              </w:rPr>
            </w:pPr>
            <w:r>
              <w:rPr>
                <w:sz w:val="18"/>
                <w:szCs w:val="18"/>
              </w:rPr>
              <w:t xml:space="preserve">$28,669 </w:t>
            </w:r>
          </w:p>
        </w:tc>
        <w:tc>
          <w:tcPr>
            <w:tcW w:w="867" w:type="dxa"/>
            <w:tcBorders>
              <w:top w:val="single" w:sz="4" w:space="0" w:color="7030A0"/>
              <w:bottom w:val="single" w:sz="4" w:space="0" w:color="7030A0"/>
            </w:tcBorders>
            <w:shd w:val="clear" w:color="auto" w:fill="auto"/>
            <w:noWrap/>
          </w:tcPr>
          <w:p w:rsidR="002B3182" w:rsidRPr="009655D6" w:rsidRDefault="002B3182" w:rsidP="002B3182">
            <w:pPr>
              <w:spacing w:after="0"/>
              <w:jc w:val="center"/>
              <w:rPr>
                <w:rFonts w:cs="Arial"/>
                <w:sz w:val="18"/>
                <w:szCs w:val="18"/>
              </w:rPr>
            </w:pPr>
            <w:r>
              <w:rPr>
                <w:sz w:val="18"/>
                <w:szCs w:val="18"/>
              </w:rPr>
              <w:t xml:space="preserve">$33,447 </w:t>
            </w:r>
          </w:p>
        </w:tc>
        <w:tc>
          <w:tcPr>
            <w:tcW w:w="1328" w:type="dxa"/>
            <w:vMerge/>
            <w:tcBorders>
              <w:top w:val="single" w:sz="4" w:space="0" w:color="7030A0"/>
              <w:bottom w:val="single" w:sz="4" w:space="0" w:color="7030A0"/>
              <w:right w:val="single" w:sz="4" w:space="0" w:color="7030A0"/>
            </w:tcBorders>
            <w:shd w:val="clear" w:color="auto" w:fill="auto"/>
            <w:vAlign w:val="center"/>
          </w:tcPr>
          <w:p w:rsidR="002B3182" w:rsidRPr="005C4E27" w:rsidRDefault="002B3182" w:rsidP="002B3182">
            <w:pPr>
              <w:spacing w:after="0" w:line="240" w:lineRule="auto"/>
              <w:jc w:val="center"/>
              <w:rPr>
                <w:rFonts w:asciiTheme="minorHAnsi" w:eastAsia="Times New Roman" w:hAnsiTheme="minorHAnsi" w:cs="Times New Roman"/>
                <w:color w:val="000000"/>
                <w:lang w:eastAsia="en-AU"/>
              </w:rPr>
            </w:pPr>
          </w:p>
        </w:tc>
      </w:tr>
      <w:tr w:rsidR="00FC54BF" w:rsidRPr="005C4E27" w:rsidTr="0032246B">
        <w:trPr>
          <w:trHeight w:val="334"/>
        </w:trPr>
        <w:tc>
          <w:tcPr>
            <w:tcW w:w="3241" w:type="dxa"/>
            <w:tcBorders>
              <w:top w:val="single" w:sz="4" w:space="0" w:color="7030A0"/>
              <w:left w:val="single" w:sz="4" w:space="0" w:color="7030A0"/>
              <w:bottom w:val="single" w:sz="4" w:space="0" w:color="7030A0"/>
            </w:tcBorders>
            <w:shd w:val="clear" w:color="auto" w:fill="auto"/>
            <w:noWrap/>
            <w:vAlign w:val="center"/>
          </w:tcPr>
          <w:p w:rsidR="00FC54BF" w:rsidRPr="007B7D09" w:rsidRDefault="00FC54BF" w:rsidP="0032246B">
            <w:pPr>
              <w:spacing w:after="0" w:line="240" w:lineRule="auto"/>
              <w:rPr>
                <w:rFonts w:eastAsia="Times New Roman" w:cs="Arial"/>
                <w:color w:val="000000"/>
                <w:sz w:val="18"/>
                <w:szCs w:val="18"/>
                <w:lang w:eastAsia="en-AU"/>
              </w:rPr>
            </w:pPr>
            <w:r w:rsidRPr="007B7D09">
              <w:rPr>
                <w:rFonts w:eastAsia="Times New Roman" w:cs="Arial"/>
                <w:color w:val="000000"/>
                <w:sz w:val="18"/>
                <w:szCs w:val="18"/>
                <w:lang w:eastAsia="en-AU"/>
              </w:rPr>
              <w:t>Apartment, 3 bedrooms, 2 residents</w:t>
            </w:r>
          </w:p>
        </w:tc>
        <w:tc>
          <w:tcPr>
            <w:tcW w:w="867" w:type="dxa"/>
            <w:tcBorders>
              <w:top w:val="single" w:sz="4" w:space="0" w:color="7030A0"/>
              <w:bottom w:val="single" w:sz="4" w:space="0" w:color="7030A0"/>
            </w:tcBorders>
            <w:vAlign w:val="center"/>
          </w:tcPr>
          <w:p w:rsidR="00FC54BF" w:rsidRPr="007B7D09" w:rsidRDefault="00FC54BF" w:rsidP="0032246B">
            <w:pPr>
              <w:spacing w:after="0"/>
              <w:jc w:val="center"/>
              <w:rPr>
                <w:rFonts w:cs="Arial"/>
                <w:sz w:val="18"/>
                <w:szCs w:val="18"/>
              </w:rPr>
            </w:pPr>
            <w:r w:rsidRPr="009655D6">
              <w:rPr>
                <w:rFonts w:cs="Arial"/>
                <w:sz w:val="18"/>
                <w:szCs w:val="18"/>
              </w:rPr>
              <w:t>$12,470</w:t>
            </w:r>
          </w:p>
        </w:tc>
        <w:tc>
          <w:tcPr>
            <w:tcW w:w="93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$12,801</w:t>
            </w:r>
          </w:p>
        </w:tc>
        <w:tc>
          <w:tcPr>
            <w:tcW w:w="93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$14,935</w:t>
            </w:r>
          </w:p>
        </w:tc>
        <w:tc>
          <w:tcPr>
            <w:tcW w:w="938"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$24,125</w:t>
            </w:r>
          </w:p>
        </w:tc>
        <w:tc>
          <w:tcPr>
            <w:tcW w:w="1011"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$28,146</w:t>
            </w:r>
          </w:p>
        </w:tc>
        <w:tc>
          <w:tcPr>
            <w:tcW w:w="86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na</w:t>
            </w:r>
          </w:p>
        </w:tc>
        <w:tc>
          <w:tcPr>
            <w:tcW w:w="938"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na</w:t>
            </w:r>
          </w:p>
        </w:tc>
        <w:tc>
          <w:tcPr>
            <w:tcW w:w="1079"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na</w:t>
            </w:r>
          </w:p>
        </w:tc>
        <w:tc>
          <w:tcPr>
            <w:tcW w:w="938"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$40,618</w:t>
            </w:r>
          </w:p>
        </w:tc>
        <w:tc>
          <w:tcPr>
            <w:tcW w:w="86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$47,387</w:t>
            </w:r>
          </w:p>
        </w:tc>
        <w:tc>
          <w:tcPr>
            <w:tcW w:w="1328" w:type="dxa"/>
            <w:vMerge/>
            <w:tcBorders>
              <w:top w:val="single" w:sz="4" w:space="0" w:color="7030A0"/>
              <w:bottom w:val="single" w:sz="4" w:space="0" w:color="7030A0"/>
              <w:right w:val="single" w:sz="4" w:space="0" w:color="7030A0"/>
            </w:tcBorders>
            <w:shd w:val="clear" w:color="auto" w:fill="auto"/>
            <w:vAlign w:val="center"/>
          </w:tcPr>
          <w:p w:rsidR="00FC54BF" w:rsidRPr="005C4E27" w:rsidRDefault="00FC54BF" w:rsidP="0032246B">
            <w:pPr>
              <w:spacing w:after="0" w:line="240" w:lineRule="auto"/>
              <w:jc w:val="center"/>
              <w:rPr>
                <w:rFonts w:asciiTheme="minorHAnsi" w:eastAsia="Times New Roman" w:hAnsiTheme="minorHAnsi" w:cs="Times New Roman"/>
                <w:color w:val="000000"/>
                <w:lang w:eastAsia="en-AU"/>
              </w:rPr>
            </w:pPr>
          </w:p>
        </w:tc>
      </w:tr>
      <w:tr w:rsidR="00FC54BF" w:rsidRPr="005C4E27" w:rsidTr="0032246B">
        <w:trPr>
          <w:trHeight w:val="334"/>
        </w:trPr>
        <w:tc>
          <w:tcPr>
            <w:tcW w:w="3241" w:type="dxa"/>
            <w:tcBorders>
              <w:top w:val="single" w:sz="4" w:space="0" w:color="7030A0"/>
              <w:left w:val="single" w:sz="4" w:space="0" w:color="7030A0"/>
              <w:bottom w:val="single" w:sz="4" w:space="0" w:color="7030A0"/>
            </w:tcBorders>
            <w:shd w:val="clear" w:color="auto" w:fill="auto"/>
            <w:noWrap/>
            <w:vAlign w:val="center"/>
            <w:hideMark/>
          </w:tcPr>
          <w:p w:rsidR="00FC54BF" w:rsidRPr="00ED0573" w:rsidRDefault="00FC54BF" w:rsidP="00F61515">
            <w:pPr>
              <w:spacing w:after="0" w:line="240" w:lineRule="auto"/>
              <w:rPr>
                <w:rFonts w:eastAsia="Times New Roman" w:cs="Arial"/>
                <w:color w:val="000000"/>
                <w:sz w:val="18"/>
                <w:szCs w:val="18"/>
                <w:lang w:eastAsia="en-AU"/>
              </w:rPr>
            </w:pPr>
            <w:r w:rsidRPr="00ED0573">
              <w:rPr>
                <w:rFonts w:eastAsia="Times New Roman" w:cs="Arial"/>
                <w:color w:val="000000"/>
                <w:sz w:val="18"/>
                <w:szCs w:val="18"/>
                <w:lang w:eastAsia="en-AU"/>
              </w:rPr>
              <w:t>Villa</w:t>
            </w:r>
            <w:r w:rsidR="001C38D5" w:rsidRPr="00ED0573">
              <w:rPr>
                <w:rFonts w:eastAsia="Times New Roman" w:cs="Arial"/>
                <w:color w:val="000000"/>
                <w:sz w:val="18"/>
                <w:szCs w:val="18"/>
                <w:lang w:eastAsia="en-AU"/>
              </w:rPr>
              <w:t>/</w:t>
            </w:r>
            <w:r w:rsidR="00ED0573" w:rsidRPr="00ED0573">
              <w:rPr>
                <w:rFonts w:eastAsia="Times New Roman" w:cs="Arial"/>
                <w:color w:val="000000"/>
                <w:sz w:val="18"/>
                <w:szCs w:val="18"/>
                <w:lang w:eastAsia="en-AU"/>
              </w:rPr>
              <w:t>Duplex/Townhouse,</w:t>
            </w:r>
            <w:r w:rsidR="001C38D5" w:rsidRPr="00ED0573">
              <w:rPr>
                <w:rFonts w:eastAsia="Times New Roman" w:cs="Arial"/>
                <w:color w:val="000000"/>
                <w:sz w:val="18"/>
                <w:szCs w:val="18"/>
                <w:lang w:eastAsia="en-AU"/>
              </w:rPr>
              <w:t xml:space="preserve"> </w:t>
            </w:r>
            <w:r w:rsidRPr="00ED0573">
              <w:rPr>
                <w:rFonts w:eastAsia="Times New Roman" w:cs="Arial"/>
                <w:color w:val="000000"/>
                <w:sz w:val="18"/>
                <w:szCs w:val="18"/>
                <w:lang w:eastAsia="en-AU"/>
              </w:rPr>
              <w:t>1 resident</w:t>
            </w:r>
          </w:p>
        </w:tc>
        <w:tc>
          <w:tcPr>
            <w:tcW w:w="867" w:type="dxa"/>
            <w:tcBorders>
              <w:top w:val="single" w:sz="4" w:space="0" w:color="7030A0"/>
              <w:bottom w:val="single" w:sz="4" w:space="0" w:color="7030A0"/>
            </w:tcBorders>
            <w:vAlign w:val="center"/>
          </w:tcPr>
          <w:p w:rsidR="00FC54BF" w:rsidRPr="007B7D09" w:rsidRDefault="00FC54BF" w:rsidP="0032246B">
            <w:pPr>
              <w:spacing w:after="0"/>
              <w:jc w:val="center"/>
              <w:rPr>
                <w:rFonts w:cs="Arial"/>
                <w:sz w:val="18"/>
                <w:szCs w:val="18"/>
              </w:rPr>
            </w:pPr>
            <w:r w:rsidRPr="009655D6">
              <w:rPr>
                <w:rFonts w:cs="Arial"/>
                <w:sz w:val="18"/>
                <w:szCs w:val="18"/>
              </w:rPr>
              <w:t>$9,523</w:t>
            </w:r>
          </w:p>
        </w:tc>
        <w:tc>
          <w:tcPr>
            <w:tcW w:w="93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$9,775</w:t>
            </w:r>
          </w:p>
        </w:tc>
        <w:tc>
          <w:tcPr>
            <w:tcW w:w="93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$11,675</w:t>
            </w:r>
          </w:p>
        </w:tc>
        <w:tc>
          <w:tcPr>
            <w:tcW w:w="938"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$16,350</w:t>
            </w:r>
          </w:p>
        </w:tc>
        <w:tc>
          <w:tcPr>
            <w:tcW w:w="1011"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$18,350</w:t>
            </w:r>
          </w:p>
        </w:tc>
        <w:tc>
          <w:tcPr>
            <w:tcW w:w="86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$20,305</w:t>
            </w:r>
          </w:p>
        </w:tc>
        <w:tc>
          <w:tcPr>
            <w:tcW w:w="938"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$22,793</w:t>
            </w:r>
          </w:p>
        </w:tc>
        <w:tc>
          <w:tcPr>
            <w:tcW w:w="1079"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na</w:t>
            </w:r>
          </w:p>
        </w:tc>
        <w:tc>
          <w:tcPr>
            <w:tcW w:w="938"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$27,139</w:t>
            </w:r>
          </w:p>
        </w:tc>
        <w:tc>
          <w:tcPr>
            <w:tcW w:w="86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$29,771</w:t>
            </w:r>
          </w:p>
        </w:tc>
        <w:tc>
          <w:tcPr>
            <w:tcW w:w="1328" w:type="dxa"/>
            <w:vMerge/>
            <w:tcBorders>
              <w:top w:val="single" w:sz="4" w:space="0" w:color="7030A0"/>
              <w:bottom w:val="single" w:sz="4" w:space="0" w:color="7030A0"/>
              <w:right w:val="single" w:sz="4" w:space="0" w:color="7030A0"/>
            </w:tcBorders>
            <w:shd w:val="clear" w:color="auto" w:fill="auto"/>
            <w:vAlign w:val="center"/>
            <w:hideMark/>
          </w:tcPr>
          <w:p w:rsidR="00FC54BF" w:rsidRPr="005C4E27" w:rsidRDefault="00FC54BF" w:rsidP="0032246B">
            <w:pPr>
              <w:spacing w:after="0" w:line="240" w:lineRule="auto"/>
              <w:jc w:val="center"/>
              <w:rPr>
                <w:rFonts w:asciiTheme="minorHAnsi" w:eastAsia="Times New Roman" w:hAnsiTheme="minorHAnsi" w:cs="Times New Roman"/>
                <w:color w:val="000000"/>
                <w:lang w:eastAsia="en-AU"/>
              </w:rPr>
            </w:pPr>
          </w:p>
        </w:tc>
      </w:tr>
      <w:tr w:rsidR="00FC54BF" w:rsidRPr="005C4E27" w:rsidTr="0032246B">
        <w:trPr>
          <w:trHeight w:val="334"/>
        </w:trPr>
        <w:tc>
          <w:tcPr>
            <w:tcW w:w="3241" w:type="dxa"/>
            <w:tcBorders>
              <w:top w:val="single" w:sz="4" w:space="0" w:color="7030A0"/>
              <w:left w:val="single" w:sz="4" w:space="0" w:color="7030A0"/>
              <w:bottom w:val="single" w:sz="4" w:space="0" w:color="7030A0"/>
            </w:tcBorders>
            <w:shd w:val="clear" w:color="auto" w:fill="auto"/>
            <w:noWrap/>
            <w:vAlign w:val="center"/>
            <w:hideMark/>
          </w:tcPr>
          <w:p w:rsidR="00FC54BF" w:rsidRPr="00ED0573" w:rsidRDefault="00ED0573" w:rsidP="0032246B">
            <w:pPr>
              <w:spacing w:after="0" w:line="240" w:lineRule="auto"/>
              <w:rPr>
                <w:rFonts w:eastAsia="Times New Roman" w:cs="Arial"/>
                <w:color w:val="000000"/>
                <w:sz w:val="18"/>
                <w:szCs w:val="18"/>
                <w:lang w:eastAsia="en-AU"/>
              </w:rPr>
            </w:pPr>
            <w:r w:rsidRPr="00ED0573">
              <w:rPr>
                <w:rFonts w:eastAsia="Times New Roman" w:cs="Arial"/>
                <w:color w:val="000000"/>
                <w:sz w:val="18"/>
                <w:szCs w:val="18"/>
                <w:lang w:eastAsia="en-AU"/>
              </w:rPr>
              <w:t>Villa/Duplex/Townhouse,</w:t>
            </w:r>
            <w:r w:rsidR="00FC54BF" w:rsidRPr="00ED0573">
              <w:rPr>
                <w:rFonts w:eastAsia="Times New Roman" w:cs="Arial"/>
                <w:color w:val="000000"/>
                <w:sz w:val="18"/>
                <w:szCs w:val="18"/>
                <w:lang w:eastAsia="en-AU"/>
              </w:rPr>
              <w:t xml:space="preserve"> 2 residents</w:t>
            </w:r>
          </w:p>
        </w:tc>
        <w:tc>
          <w:tcPr>
            <w:tcW w:w="867" w:type="dxa"/>
            <w:tcBorders>
              <w:top w:val="single" w:sz="4" w:space="0" w:color="7030A0"/>
              <w:bottom w:val="single" w:sz="4" w:space="0" w:color="7030A0"/>
            </w:tcBorders>
            <w:vAlign w:val="center"/>
          </w:tcPr>
          <w:p w:rsidR="00FC54BF" w:rsidRPr="007B7D09" w:rsidRDefault="00FC54BF" w:rsidP="0032246B">
            <w:pPr>
              <w:spacing w:after="0"/>
              <w:jc w:val="center"/>
              <w:rPr>
                <w:rFonts w:cs="Arial"/>
                <w:sz w:val="18"/>
                <w:szCs w:val="18"/>
              </w:rPr>
            </w:pPr>
            <w:r w:rsidRPr="009655D6">
              <w:rPr>
                <w:rFonts w:cs="Arial"/>
                <w:sz w:val="18"/>
                <w:szCs w:val="18"/>
              </w:rPr>
              <w:t>$5,036</w:t>
            </w:r>
          </w:p>
        </w:tc>
        <w:tc>
          <w:tcPr>
            <w:tcW w:w="93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$5,204</w:t>
            </w:r>
          </w:p>
        </w:tc>
        <w:tc>
          <w:tcPr>
            <w:tcW w:w="93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$6,126</w:t>
            </w:r>
          </w:p>
        </w:tc>
        <w:tc>
          <w:tcPr>
            <w:tcW w:w="938"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$9,272</w:t>
            </w:r>
          </w:p>
        </w:tc>
        <w:tc>
          <w:tcPr>
            <w:tcW w:w="1011"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$10,243</w:t>
            </w:r>
          </w:p>
        </w:tc>
        <w:tc>
          <w:tcPr>
            <w:tcW w:w="86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$11,917</w:t>
            </w:r>
          </w:p>
        </w:tc>
        <w:tc>
          <w:tcPr>
            <w:tcW w:w="938"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$13,116</w:t>
            </w:r>
          </w:p>
        </w:tc>
        <w:tc>
          <w:tcPr>
            <w:tcW w:w="1079"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+$1,009</w:t>
            </w:r>
          </w:p>
        </w:tc>
        <w:tc>
          <w:tcPr>
            <w:tcW w:w="938"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$16,657</w:t>
            </w:r>
          </w:p>
        </w:tc>
        <w:tc>
          <w:tcPr>
            <w:tcW w:w="86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$17,923</w:t>
            </w:r>
          </w:p>
        </w:tc>
        <w:tc>
          <w:tcPr>
            <w:tcW w:w="1328" w:type="dxa"/>
            <w:vMerge/>
            <w:tcBorders>
              <w:top w:val="single" w:sz="4" w:space="0" w:color="7030A0"/>
              <w:bottom w:val="single" w:sz="4" w:space="0" w:color="7030A0"/>
              <w:right w:val="single" w:sz="4" w:space="0" w:color="7030A0"/>
            </w:tcBorders>
            <w:shd w:val="clear" w:color="auto" w:fill="auto"/>
            <w:vAlign w:val="center"/>
            <w:hideMark/>
          </w:tcPr>
          <w:p w:rsidR="00FC54BF" w:rsidRPr="005C4E27" w:rsidRDefault="00FC54BF" w:rsidP="0032246B">
            <w:pPr>
              <w:spacing w:after="0" w:line="240" w:lineRule="auto"/>
              <w:jc w:val="center"/>
              <w:rPr>
                <w:rFonts w:asciiTheme="minorHAnsi" w:eastAsia="Times New Roman" w:hAnsiTheme="minorHAnsi" w:cs="Times New Roman"/>
                <w:color w:val="000000"/>
                <w:lang w:eastAsia="en-AU"/>
              </w:rPr>
            </w:pPr>
          </w:p>
        </w:tc>
      </w:tr>
      <w:tr w:rsidR="00FC54BF" w:rsidRPr="005C4E27" w:rsidTr="0032246B">
        <w:trPr>
          <w:trHeight w:val="334"/>
        </w:trPr>
        <w:tc>
          <w:tcPr>
            <w:tcW w:w="3241" w:type="dxa"/>
            <w:tcBorders>
              <w:top w:val="single" w:sz="4" w:space="0" w:color="7030A0"/>
              <w:left w:val="single" w:sz="4" w:space="0" w:color="7030A0"/>
              <w:bottom w:val="single" w:sz="4" w:space="0" w:color="7030A0"/>
            </w:tcBorders>
            <w:shd w:val="clear" w:color="auto" w:fill="auto"/>
            <w:noWrap/>
            <w:vAlign w:val="center"/>
            <w:hideMark/>
          </w:tcPr>
          <w:p w:rsidR="00FC54BF" w:rsidRPr="00ED0573" w:rsidRDefault="00ED0573" w:rsidP="0032246B">
            <w:pPr>
              <w:spacing w:after="0" w:line="240" w:lineRule="auto"/>
              <w:rPr>
                <w:rFonts w:eastAsia="Times New Roman" w:cs="Arial"/>
                <w:color w:val="000000"/>
                <w:sz w:val="18"/>
                <w:szCs w:val="18"/>
                <w:lang w:eastAsia="en-AU"/>
              </w:rPr>
            </w:pPr>
            <w:r w:rsidRPr="00ED0573">
              <w:rPr>
                <w:rFonts w:eastAsia="Times New Roman" w:cs="Arial"/>
                <w:color w:val="000000"/>
                <w:sz w:val="18"/>
                <w:szCs w:val="18"/>
                <w:lang w:eastAsia="en-AU"/>
              </w:rPr>
              <w:t>Villa/Duplex/Townhouse</w:t>
            </w:r>
            <w:r w:rsidR="00FC54BF" w:rsidRPr="00ED0573">
              <w:rPr>
                <w:rFonts w:eastAsia="Times New Roman" w:cs="Arial"/>
                <w:color w:val="000000"/>
                <w:sz w:val="18"/>
                <w:szCs w:val="18"/>
                <w:lang w:eastAsia="en-AU"/>
              </w:rPr>
              <w:t>, 3 residents</w:t>
            </w:r>
          </w:p>
        </w:tc>
        <w:tc>
          <w:tcPr>
            <w:tcW w:w="867" w:type="dxa"/>
            <w:tcBorders>
              <w:top w:val="single" w:sz="4" w:space="0" w:color="7030A0"/>
              <w:bottom w:val="single" w:sz="4" w:space="0" w:color="7030A0"/>
            </w:tcBorders>
            <w:vAlign w:val="center"/>
          </w:tcPr>
          <w:p w:rsidR="00FC54BF" w:rsidRPr="007B7D09" w:rsidRDefault="00FC54BF" w:rsidP="0032246B">
            <w:pPr>
              <w:spacing w:after="0"/>
              <w:jc w:val="center"/>
              <w:rPr>
                <w:rFonts w:cs="Arial"/>
                <w:sz w:val="18"/>
                <w:szCs w:val="18"/>
              </w:rPr>
            </w:pPr>
            <w:r w:rsidRPr="009655D6">
              <w:rPr>
                <w:rFonts w:cs="Arial"/>
                <w:sz w:val="18"/>
                <w:szCs w:val="18"/>
              </w:rPr>
              <w:t>$4,076</w:t>
            </w:r>
          </w:p>
        </w:tc>
        <w:tc>
          <w:tcPr>
            <w:tcW w:w="93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$4,222</w:t>
            </w:r>
          </w:p>
        </w:tc>
        <w:tc>
          <w:tcPr>
            <w:tcW w:w="93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$4,839</w:t>
            </w:r>
          </w:p>
        </w:tc>
        <w:tc>
          <w:tcPr>
            <w:tcW w:w="938"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$7,902</w:t>
            </w:r>
          </w:p>
        </w:tc>
        <w:tc>
          <w:tcPr>
            <w:tcW w:w="1011"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$8,551</w:t>
            </w:r>
          </w:p>
        </w:tc>
        <w:tc>
          <w:tcPr>
            <w:tcW w:w="86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$10,396</w:t>
            </w:r>
          </w:p>
        </w:tc>
        <w:tc>
          <w:tcPr>
            <w:tcW w:w="938"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$11,195</w:t>
            </w:r>
          </w:p>
        </w:tc>
        <w:tc>
          <w:tcPr>
            <w:tcW w:w="1079"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+$672</w:t>
            </w:r>
          </w:p>
        </w:tc>
        <w:tc>
          <w:tcPr>
            <w:tcW w:w="938"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$14,803</w:t>
            </w:r>
          </w:p>
        </w:tc>
        <w:tc>
          <w:tcPr>
            <w:tcW w:w="86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$15,645</w:t>
            </w:r>
          </w:p>
        </w:tc>
        <w:tc>
          <w:tcPr>
            <w:tcW w:w="1328" w:type="dxa"/>
            <w:vMerge/>
            <w:tcBorders>
              <w:top w:val="single" w:sz="4" w:space="0" w:color="7030A0"/>
              <w:bottom w:val="single" w:sz="4" w:space="0" w:color="7030A0"/>
              <w:right w:val="single" w:sz="4" w:space="0" w:color="7030A0"/>
            </w:tcBorders>
            <w:shd w:val="clear" w:color="auto" w:fill="auto"/>
            <w:vAlign w:val="center"/>
            <w:hideMark/>
          </w:tcPr>
          <w:p w:rsidR="00FC54BF" w:rsidRPr="005C4E27" w:rsidRDefault="00FC54BF" w:rsidP="0032246B">
            <w:pPr>
              <w:spacing w:after="0" w:line="240" w:lineRule="auto"/>
              <w:jc w:val="center"/>
              <w:rPr>
                <w:rFonts w:asciiTheme="minorHAnsi" w:eastAsia="Times New Roman" w:hAnsiTheme="minorHAnsi" w:cs="Times New Roman"/>
                <w:color w:val="000000"/>
                <w:lang w:eastAsia="en-AU"/>
              </w:rPr>
            </w:pPr>
          </w:p>
        </w:tc>
      </w:tr>
      <w:tr w:rsidR="00FC54BF" w:rsidRPr="005C4E27" w:rsidTr="0032246B">
        <w:trPr>
          <w:trHeight w:val="334"/>
        </w:trPr>
        <w:tc>
          <w:tcPr>
            <w:tcW w:w="3241" w:type="dxa"/>
            <w:tcBorders>
              <w:top w:val="single" w:sz="4" w:space="0" w:color="7030A0"/>
              <w:left w:val="single" w:sz="4" w:space="0" w:color="7030A0"/>
              <w:bottom w:val="single" w:sz="4" w:space="0" w:color="7030A0"/>
            </w:tcBorders>
            <w:shd w:val="clear" w:color="auto" w:fill="auto"/>
            <w:noWrap/>
            <w:vAlign w:val="center"/>
          </w:tcPr>
          <w:p w:rsidR="00FC54BF" w:rsidRPr="007B7D09" w:rsidRDefault="00FC54BF" w:rsidP="0032246B">
            <w:pPr>
              <w:spacing w:after="0" w:line="240" w:lineRule="auto"/>
              <w:rPr>
                <w:rFonts w:eastAsia="Times New Roman" w:cs="Arial"/>
                <w:color w:val="000000"/>
                <w:sz w:val="18"/>
                <w:szCs w:val="18"/>
                <w:lang w:eastAsia="en-AU"/>
              </w:rPr>
            </w:pPr>
            <w:r w:rsidRPr="007B7D09">
              <w:rPr>
                <w:rFonts w:eastAsia="Times New Roman" w:cs="Arial"/>
                <w:color w:val="000000"/>
                <w:sz w:val="18"/>
                <w:szCs w:val="18"/>
                <w:lang w:eastAsia="en-AU"/>
              </w:rPr>
              <w:t>House, 2 residents</w:t>
            </w:r>
          </w:p>
        </w:tc>
        <w:tc>
          <w:tcPr>
            <w:tcW w:w="867" w:type="dxa"/>
            <w:tcBorders>
              <w:top w:val="single" w:sz="4" w:space="0" w:color="7030A0"/>
              <w:bottom w:val="single" w:sz="4" w:space="0" w:color="7030A0"/>
            </w:tcBorders>
            <w:vAlign w:val="center"/>
          </w:tcPr>
          <w:p w:rsidR="00FC54BF" w:rsidRPr="007B7D09" w:rsidRDefault="00FC54BF" w:rsidP="0032246B">
            <w:pPr>
              <w:spacing w:after="0"/>
              <w:jc w:val="center"/>
              <w:rPr>
                <w:rFonts w:cs="Arial"/>
                <w:sz w:val="18"/>
                <w:szCs w:val="18"/>
              </w:rPr>
            </w:pPr>
            <w:r w:rsidRPr="009655D6">
              <w:rPr>
                <w:rFonts w:cs="Arial"/>
                <w:sz w:val="18"/>
                <w:szCs w:val="18"/>
              </w:rPr>
              <w:t>$5,800</w:t>
            </w:r>
          </w:p>
        </w:tc>
        <w:tc>
          <w:tcPr>
            <w:tcW w:w="93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$5,922</w:t>
            </w:r>
          </w:p>
        </w:tc>
        <w:tc>
          <w:tcPr>
            <w:tcW w:w="93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$6,845</w:t>
            </w:r>
          </w:p>
        </w:tc>
        <w:tc>
          <w:tcPr>
            <w:tcW w:w="938"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$10,005</w:t>
            </w:r>
          </w:p>
        </w:tc>
        <w:tc>
          <w:tcPr>
            <w:tcW w:w="1011"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$10,977</w:t>
            </w:r>
          </w:p>
        </w:tc>
        <w:tc>
          <w:tcPr>
            <w:tcW w:w="86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$12,986</w:t>
            </w:r>
          </w:p>
        </w:tc>
        <w:tc>
          <w:tcPr>
            <w:tcW w:w="938"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$14,185</w:t>
            </w:r>
          </w:p>
        </w:tc>
        <w:tc>
          <w:tcPr>
            <w:tcW w:w="1079"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+$1,009</w:t>
            </w:r>
          </w:p>
        </w:tc>
        <w:tc>
          <w:tcPr>
            <w:tcW w:w="938"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$17,757</w:t>
            </w:r>
          </w:p>
        </w:tc>
        <w:tc>
          <w:tcPr>
            <w:tcW w:w="86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$19,023</w:t>
            </w:r>
          </w:p>
        </w:tc>
        <w:tc>
          <w:tcPr>
            <w:tcW w:w="1328" w:type="dxa"/>
            <w:vMerge/>
            <w:tcBorders>
              <w:top w:val="single" w:sz="4" w:space="0" w:color="7030A0"/>
              <w:bottom w:val="single" w:sz="4" w:space="0" w:color="7030A0"/>
              <w:right w:val="single" w:sz="4" w:space="0" w:color="7030A0"/>
            </w:tcBorders>
            <w:shd w:val="clear" w:color="auto" w:fill="auto"/>
            <w:vAlign w:val="center"/>
          </w:tcPr>
          <w:p w:rsidR="00FC54BF" w:rsidRPr="005C4E27" w:rsidRDefault="00FC54BF" w:rsidP="0032246B">
            <w:pPr>
              <w:spacing w:after="0" w:line="240" w:lineRule="auto"/>
              <w:jc w:val="center"/>
              <w:rPr>
                <w:rFonts w:asciiTheme="minorHAnsi" w:eastAsia="Times New Roman" w:hAnsiTheme="minorHAnsi" w:cs="Times New Roman"/>
                <w:color w:val="000000"/>
                <w:lang w:eastAsia="en-AU"/>
              </w:rPr>
            </w:pPr>
          </w:p>
        </w:tc>
      </w:tr>
      <w:tr w:rsidR="00FC54BF" w:rsidRPr="005C4E27" w:rsidTr="0032246B">
        <w:trPr>
          <w:trHeight w:val="334"/>
        </w:trPr>
        <w:tc>
          <w:tcPr>
            <w:tcW w:w="3241" w:type="dxa"/>
            <w:tcBorders>
              <w:top w:val="single" w:sz="4" w:space="0" w:color="7030A0"/>
              <w:left w:val="single" w:sz="4" w:space="0" w:color="7030A0"/>
              <w:bottom w:val="single" w:sz="4" w:space="0" w:color="7030A0"/>
            </w:tcBorders>
            <w:shd w:val="clear" w:color="auto" w:fill="auto"/>
            <w:noWrap/>
            <w:vAlign w:val="center"/>
            <w:hideMark/>
          </w:tcPr>
          <w:p w:rsidR="00FC54BF" w:rsidRPr="007B7D09" w:rsidRDefault="00FC54BF" w:rsidP="0032246B">
            <w:pPr>
              <w:spacing w:after="0" w:line="240" w:lineRule="auto"/>
              <w:rPr>
                <w:rFonts w:eastAsia="Times New Roman" w:cs="Arial"/>
                <w:color w:val="000000"/>
                <w:sz w:val="18"/>
                <w:szCs w:val="18"/>
                <w:lang w:eastAsia="en-AU"/>
              </w:rPr>
            </w:pPr>
            <w:r w:rsidRPr="007B7D09">
              <w:rPr>
                <w:rFonts w:eastAsia="Times New Roman" w:cs="Arial"/>
                <w:color w:val="000000"/>
                <w:sz w:val="18"/>
                <w:szCs w:val="18"/>
                <w:lang w:eastAsia="en-AU"/>
              </w:rPr>
              <w:t>House, 3 residents</w:t>
            </w:r>
          </w:p>
        </w:tc>
        <w:tc>
          <w:tcPr>
            <w:tcW w:w="867" w:type="dxa"/>
            <w:tcBorders>
              <w:top w:val="single" w:sz="4" w:space="0" w:color="7030A0"/>
              <w:bottom w:val="single" w:sz="4" w:space="0" w:color="7030A0"/>
            </w:tcBorders>
            <w:vAlign w:val="center"/>
          </w:tcPr>
          <w:p w:rsidR="00FC54BF" w:rsidRPr="007B7D09" w:rsidRDefault="00FC54BF" w:rsidP="0032246B">
            <w:pPr>
              <w:spacing w:after="0"/>
              <w:jc w:val="center"/>
              <w:rPr>
                <w:rFonts w:cs="Arial"/>
                <w:sz w:val="18"/>
                <w:szCs w:val="18"/>
              </w:rPr>
            </w:pPr>
            <w:r w:rsidRPr="009655D6">
              <w:rPr>
                <w:rFonts w:cs="Arial"/>
                <w:sz w:val="18"/>
                <w:szCs w:val="18"/>
              </w:rPr>
              <w:t>$4,452</w:t>
            </w:r>
          </w:p>
        </w:tc>
        <w:tc>
          <w:tcPr>
            <w:tcW w:w="93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$5,310</w:t>
            </w:r>
          </w:p>
        </w:tc>
        <w:tc>
          <w:tcPr>
            <w:tcW w:w="93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$6,002</w:t>
            </w:r>
          </w:p>
        </w:tc>
        <w:tc>
          <w:tcPr>
            <w:tcW w:w="938"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$9,408</w:t>
            </w:r>
          </w:p>
        </w:tc>
        <w:tc>
          <w:tcPr>
            <w:tcW w:w="1011"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$10,136</w:t>
            </w:r>
          </w:p>
        </w:tc>
        <w:tc>
          <w:tcPr>
            <w:tcW w:w="86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$12,060</w:t>
            </w:r>
          </w:p>
        </w:tc>
        <w:tc>
          <w:tcPr>
            <w:tcW w:w="938"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$12,943</w:t>
            </w:r>
          </w:p>
        </w:tc>
        <w:tc>
          <w:tcPr>
            <w:tcW w:w="1079"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+$743</w:t>
            </w:r>
          </w:p>
        </w:tc>
        <w:tc>
          <w:tcPr>
            <w:tcW w:w="938"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$18,496</w:t>
            </w:r>
          </w:p>
        </w:tc>
        <w:tc>
          <w:tcPr>
            <w:tcW w:w="86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$19,516</w:t>
            </w:r>
          </w:p>
        </w:tc>
        <w:tc>
          <w:tcPr>
            <w:tcW w:w="1328" w:type="dxa"/>
            <w:vMerge/>
            <w:tcBorders>
              <w:top w:val="single" w:sz="4" w:space="0" w:color="7030A0"/>
              <w:bottom w:val="single" w:sz="4" w:space="0" w:color="7030A0"/>
              <w:right w:val="single" w:sz="4" w:space="0" w:color="7030A0"/>
            </w:tcBorders>
            <w:shd w:val="clear" w:color="auto" w:fill="auto"/>
            <w:vAlign w:val="center"/>
            <w:hideMark/>
          </w:tcPr>
          <w:p w:rsidR="00FC54BF" w:rsidRPr="005C4E27" w:rsidRDefault="00FC54BF" w:rsidP="0032246B">
            <w:pPr>
              <w:spacing w:after="0" w:line="240" w:lineRule="auto"/>
              <w:jc w:val="center"/>
              <w:rPr>
                <w:rFonts w:asciiTheme="minorHAnsi" w:eastAsia="Times New Roman" w:hAnsiTheme="minorHAnsi" w:cs="Times New Roman"/>
                <w:color w:val="000000"/>
                <w:lang w:eastAsia="en-AU"/>
              </w:rPr>
            </w:pPr>
          </w:p>
        </w:tc>
      </w:tr>
      <w:tr w:rsidR="00FC54BF" w:rsidRPr="005C4E27" w:rsidTr="0032246B">
        <w:trPr>
          <w:trHeight w:val="334"/>
        </w:trPr>
        <w:tc>
          <w:tcPr>
            <w:tcW w:w="3241" w:type="dxa"/>
            <w:tcBorders>
              <w:top w:val="single" w:sz="4" w:space="0" w:color="7030A0"/>
              <w:left w:val="single" w:sz="4" w:space="0" w:color="7030A0"/>
              <w:bottom w:val="single" w:sz="4" w:space="0" w:color="7030A0"/>
            </w:tcBorders>
            <w:shd w:val="clear" w:color="auto" w:fill="auto"/>
            <w:noWrap/>
            <w:vAlign w:val="center"/>
            <w:hideMark/>
          </w:tcPr>
          <w:p w:rsidR="00FC54BF" w:rsidRPr="007B7D09" w:rsidRDefault="00FC54BF" w:rsidP="0032246B">
            <w:pPr>
              <w:spacing w:after="0" w:line="240" w:lineRule="auto"/>
              <w:rPr>
                <w:rFonts w:eastAsia="Times New Roman" w:cs="Arial"/>
                <w:color w:val="000000"/>
                <w:sz w:val="18"/>
                <w:szCs w:val="18"/>
                <w:lang w:eastAsia="en-AU"/>
              </w:rPr>
            </w:pPr>
            <w:r w:rsidRPr="007B7D09">
              <w:rPr>
                <w:rFonts w:eastAsia="Times New Roman" w:cs="Arial"/>
                <w:color w:val="000000"/>
                <w:sz w:val="18"/>
                <w:szCs w:val="18"/>
                <w:lang w:eastAsia="en-AU"/>
              </w:rPr>
              <w:t xml:space="preserve">Group </w:t>
            </w:r>
            <w:r>
              <w:rPr>
                <w:rFonts w:eastAsia="Times New Roman" w:cs="Arial"/>
                <w:color w:val="000000"/>
                <w:sz w:val="18"/>
                <w:szCs w:val="18"/>
                <w:lang w:eastAsia="en-AU"/>
              </w:rPr>
              <w:t>home,</w:t>
            </w:r>
            <w:r w:rsidRPr="007B7D09">
              <w:rPr>
                <w:rFonts w:eastAsia="Times New Roman" w:cs="Arial"/>
                <w:color w:val="000000"/>
                <w:sz w:val="18"/>
                <w:szCs w:val="18"/>
                <w:lang w:eastAsia="en-AU"/>
              </w:rPr>
              <w:t xml:space="preserve"> 4 residents</w:t>
            </w:r>
          </w:p>
        </w:tc>
        <w:tc>
          <w:tcPr>
            <w:tcW w:w="867" w:type="dxa"/>
            <w:tcBorders>
              <w:top w:val="single" w:sz="4" w:space="0" w:color="7030A0"/>
              <w:bottom w:val="single" w:sz="4" w:space="0" w:color="7030A0"/>
            </w:tcBorders>
            <w:vAlign w:val="center"/>
          </w:tcPr>
          <w:p w:rsidR="00FC54BF" w:rsidRPr="007B7D09" w:rsidRDefault="00FC54BF" w:rsidP="0032246B">
            <w:pPr>
              <w:spacing w:after="0"/>
              <w:jc w:val="center"/>
              <w:rPr>
                <w:rFonts w:cs="Arial"/>
                <w:sz w:val="18"/>
                <w:szCs w:val="18"/>
              </w:rPr>
            </w:pPr>
            <w:r w:rsidRPr="009655D6">
              <w:rPr>
                <w:rFonts w:cs="Arial"/>
                <w:sz w:val="18"/>
                <w:szCs w:val="18"/>
              </w:rPr>
              <w:t>$5,492</w:t>
            </w:r>
          </w:p>
        </w:tc>
        <w:tc>
          <w:tcPr>
            <w:tcW w:w="93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$5,667</w:t>
            </w:r>
          </w:p>
        </w:tc>
        <w:tc>
          <w:tcPr>
            <w:tcW w:w="93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$6,194</w:t>
            </w:r>
          </w:p>
        </w:tc>
        <w:tc>
          <w:tcPr>
            <w:tcW w:w="938"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$9,453</w:t>
            </w:r>
          </w:p>
        </w:tc>
        <w:tc>
          <w:tcPr>
            <w:tcW w:w="1011"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$10,009</w:t>
            </w:r>
          </w:p>
        </w:tc>
        <w:tc>
          <w:tcPr>
            <w:tcW w:w="86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$11,955</w:t>
            </w:r>
          </w:p>
        </w:tc>
        <w:tc>
          <w:tcPr>
            <w:tcW w:w="938"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$12,624</w:t>
            </w:r>
          </w:p>
        </w:tc>
        <w:tc>
          <w:tcPr>
            <w:tcW w:w="1079"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+$563</w:t>
            </w:r>
          </w:p>
        </w:tc>
        <w:tc>
          <w:tcPr>
            <w:tcW w:w="938"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$17,769</w:t>
            </w:r>
          </w:p>
        </w:tc>
        <w:tc>
          <w:tcPr>
            <w:tcW w:w="86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$18,537</w:t>
            </w:r>
          </w:p>
        </w:tc>
        <w:tc>
          <w:tcPr>
            <w:tcW w:w="1328" w:type="dxa"/>
            <w:vMerge/>
            <w:tcBorders>
              <w:top w:val="single" w:sz="4" w:space="0" w:color="7030A0"/>
              <w:bottom w:val="single" w:sz="4" w:space="0" w:color="7030A0"/>
              <w:right w:val="single" w:sz="4" w:space="0" w:color="7030A0"/>
            </w:tcBorders>
            <w:shd w:val="clear" w:color="auto" w:fill="auto"/>
            <w:vAlign w:val="center"/>
            <w:hideMark/>
          </w:tcPr>
          <w:p w:rsidR="00FC54BF" w:rsidRPr="005C4E27" w:rsidRDefault="00FC54BF" w:rsidP="0032246B">
            <w:pPr>
              <w:spacing w:after="0" w:line="240" w:lineRule="auto"/>
              <w:jc w:val="center"/>
              <w:rPr>
                <w:rFonts w:asciiTheme="minorHAnsi" w:eastAsia="Times New Roman" w:hAnsiTheme="minorHAnsi" w:cs="Times New Roman"/>
                <w:color w:val="000000"/>
                <w:lang w:eastAsia="en-AU"/>
              </w:rPr>
            </w:pPr>
          </w:p>
        </w:tc>
      </w:tr>
      <w:tr w:rsidR="00FC54BF" w:rsidRPr="005C4E27" w:rsidTr="0032246B">
        <w:trPr>
          <w:trHeight w:val="334"/>
        </w:trPr>
        <w:tc>
          <w:tcPr>
            <w:tcW w:w="3241" w:type="dxa"/>
            <w:tcBorders>
              <w:top w:val="single" w:sz="4" w:space="0" w:color="7030A0"/>
              <w:left w:val="single" w:sz="4" w:space="0" w:color="7030A0"/>
              <w:bottom w:val="single" w:sz="4" w:space="0" w:color="7030A0"/>
            </w:tcBorders>
            <w:shd w:val="clear" w:color="auto" w:fill="auto"/>
            <w:noWrap/>
            <w:vAlign w:val="center"/>
            <w:hideMark/>
          </w:tcPr>
          <w:p w:rsidR="00FC54BF" w:rsidRPr="007B7D09" w:rsidRDefault="00FC54BF" w:rsidP="0032246B">
            <w:pPr>
              <w:spacing w:after="0" w:line="240" w:lineRule="auto"/>
              <w:rPr>
                <w:rFonts w:eastAsia="Times New Roman" w:cs="Arial"/>
                <w:color w:val="000000"/>
                <w:sz w:val="18"/>
                <w:szCs w:val="18"/>
                <w:lang w:eastAsia="en-AU"/>
              </w:rPr>
            </w:pPr>
            <w:r w:rsidRPr="007B7D09">
              <w:rPr>
                <w:rFonts w:eastAsia="Times New Roman" w:cs="Arial"/>
                <w:color w:val="000000"/>
                <w:sz w:val="18"/>
                <w:szCs w:val="18"/>
                <w:lang w:eastAsia="en-AU"/>
              </w:rPr>
              <w:t xml:space="preserve">Group </w:t>
            </w:r>
            <w:r>
              <w:rPr>
                <w:rFonts w:eastAsia="Times New Roman" w:cs="Arial"/>
                <w:color w:val="000000"/>
                <w:sz w:val="18"/>
                <w:szCs w:val="18"/>
                <w:lang w:eastAsia="en-AU"/>
              </w:rPr>
              <w:t>home</w:t>
            </w:r>
            <w:r w:rsidRPr="007B7D09">
              <w:rPr>
                <w:rFonts w:eastAsia="Times New Roman" w:cs="Arial"/>
                <w:color w:val="000000"/>
                <w:sz w:val="18"/>
                <w:szCs w:val="18"/>
                <w:lang w:eastAsia="en-AU"/>
              </w:rPr>
              <w:t>, 5 residents</w:t>
            </w:r>
          </w:p>
        </w:tc>
        <w:tc>
          <w:tcPr>
            <w:tcW w:w="867" w:type="dxa"/>
            <w:tcBorders>
              <w:top w:val="single" w:sz="4" w:space="0" w:color="7030A0"/>
              <w:bottom w:val="single" w:sz="4" w:space="0" w:color="7030A0"/>
            </w:tcBorders>
            <w:vAlign w:val="center"/>
          </w:tcPr>
          <w:p w:rsidR="00FC54BF" w:rsidRPr="007B7D09" w:rsidRDefault="00FC54BF" w:rsidP="0032246B">
            <w:pPr>
              <w:spacing w:after="0"/>
              <w:jc w:val="center"/>
              <w:rPr>
                <w:rFonts w:cs="Arial"/>
                <w:sz w:val="18"/>
                <w:szCs w:val="18"/>
              </w:rPr>
            </w:pPr>
            <w:r w:rsidRPr="009655D6">
              <w:rPr>
                <w:rFonts w:cs="Arial"/>
                <w:sz w:val="18"/>
                <w:szCs w:val="18"/>
              </w:rPr>
              <w:t>$4,410</w:t>
            </w:r>
          </w:p>
        </w:tc>
        <w:tc>
          <w:tcPr>
            <w:tcW w:w="93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$4,552</w:t>
            </w:r>
          </w:p>
        </w:tc>
        <w:tc>
          <w:tcPr>
            <w:tcW w:w="93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$4,970</w:t>
            </w:r>
          </w:p>
        </w:tc>
        <w:tc>
          <w:tcPr>
            <w:tcW w:w="938"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$8,088</w:t>
            </w:r>
          </w:p>
        </w:tc>
        <w:tc>
          <w:tcPr>
            <w:tcW w:w="1011"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$8,528</w:t>
            </w:r>
          </w:p>
        </w:tc>
        <w:tc>
          <w:tcPr>
            <w:tcW w:w="86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$10,323</w:t>
            </w:r>
          </w:p>
        </w:tc>
        <w:tc>
          <w:tcPr>
            <w:tcW w:w="938"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$10,852</w:t>
            </w:r>
          </w:p>
        </w:tc>
        <w:tc>
          <w:tcPr>
            <w:tcW w:w="1079"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+$445</w:t>
            </w:r>
          </w:p>
        </w:tc>
        <w:tc>
          <w:tcPr>
            <w:tcW w:w="938"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$15,722</w:t>
            </w:r>
          </w:p>
        </w:tc>
        <w:tc>
          <w:tcPr>
            <w:tcW w:w="86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$16,327</w:t>
            </w:r>
          </w:p>
        </w:tc>
        <w:tc>
          <w:tcPr>
            <w:tcW w:w="1328" w:type="dxa"/>
            <w:vMerge/>
            <w:tcBorders>
              <w:top w:val="single" w:sz="4" w:space="0" w:color="7030A0"/>
              <w:bottom w:val="single" w:sz="4" w:space="0" w:color="7030A0"/>
              <w:right w:val="single" w:sz="4" w:space="0" w:color="7030A0"/>
            </w:tcBorders>
            <w:shd w:val="clear" w:color="auto" w:fill="auto"/>
            <w:vAlign w:val="center"/>
            <w:hideMark/>
          </w:tcPr>
          <w:p w:rsidR="00FC54BF" w:rsidRPr="005C4E27" w:rsidRDefault="00FC54BF" w:rsidP="0032246B">
            <w:pPr>
              <w:spacing w:after="0" w:line="240" w:lineRule="auto"/>
              <w:jc w:val="center"/>
              <w:rPr>
                <w:rFonts w:asciiTheme="minorHAnsi" w:eastAsia="Times New Roman" w:hAnsiTheme="minorHAnsi" w:cs="Times New Roman"/>
                <w:color w:val="000000"/>
                <w:lang w:eastAsia="en-AU"/>
              </w:rPr>
            </w:pPr>
          </w:p>
        </w:tc>
      </w:tr>
    </w:tbl>
    <w:p w:rsidR="004824F7" w:rsidRPr="004824F7" w:rsidRDefault="00FC54BF" w:rsidP="00FC54BF">
      <w:pPr>
        <w:spacing w:after="0"/>
        <w:rPr>
          <w:b/>
          <w:sz w:val="18"/>
        </w:rPr>
      </w:pPr>
      <w:r w:rsidRPr="007B7D09">
        <w:rPr>
          <w:sz w:val="18"/>
        </w:rPr>
        <w:br/>
      </w:r>
      <w:r w:rsidR="004824F7" w:rsidRPr="004824F7">
        <w:rPr>
          <w:b/>
          <w:sz w:val="18"/>
        </w:rPr>
        <w:t>On-site overnight assistance</w:t>
      </w:r>
      <w:r w:rsidR="004824F7">
        <w:rPr>
          <w:b/>
          <w:sz w:val="18"/>
        </w:rPr>
        <w:t xml:space="preserve"> (OOA)</w:t>
      </w:r>
    </w:p>
    <w:p w:rsidR="00FC54BF" w:rsidRPr="007B7D09" w:rsidRDefault="004824F7" w:rsidP="00FC54BF">
      <w:pPr>
        <w:spacing w:after="0"/>
        <w:rPr>
          <w:sz w:val="18"/>
        </w:rPr>
      </w:pPr>
      <w:r>
        <w:rPr>
          <w:sz w:val="18"/>
        </w:rPr>
        <w:t>The SDA price for a dwelling with o</w:t>
      </w:r>
      <w:r w:rsidR="00FC54BF" w:rsidRPr="007B7D09">
        <w:rPr>
          <w:sz w:val="18"/>
        </w:rPr>
        <w:t>n-site overnight assistance</w:t>
      </w:r>
    </w:p>
    <w:p w:rsidR="004824F7" w:rsidRPr="004824F7" w:rsidRDefault="004824F7" w:rsidP="004824F7">
      <w:pPr>
        <w:spacing w:after="0"/>
        <w:rPr>
          <w:b/>
          <w:sz w:val="18"/>
        </w:rPr>
      </w:pPr>
      <w:r w:rsidRPr="004824F7">
        <w:rPr>
          <w:b/>
          <w:sz w:val="18"/>
        </w:rPr>
        <w:t xml:space="preserve">Additional breakout room (Robust </w:t>
      </w:r>
      <w:r w:rsidR="00864710">
        <w:rPr>
          <w:b/>
          <w:sz w:val="18"/>
        </w:rPr>
        <w:t>d</w:t>
      </w:r>
      <w:r w:rsidRPr="004824F7">
        <w:rPr>
          <w:b/>
          <w:sz w:val="18"/>
        </w:rPr>
        <w:t>esign only)</w:t>
      </w:r>
    </w:p>
    <w:p w:rsidR="00FC54BF" w:rsidRPr="004C01F6" w:rsidRDefault="00FC54BF" w:rsidP="00FC54BF">
      <w:pPr>
        <w:spacing w:after="0"/>
        <w:rPr>
          <w:sz w:val="18"/>
        </w:rPr>
      </w:pPr>
      <w:r w:rsidRPr="004C01F6">
        <w:rPr>
          <w:sz w:val="18"/>
        </w:rPr>
        <w:t>+1 Room</w:t>
      </w:r>
      <w:r w:rsidR="004824F7">
        <w:rPr>
          <w:sz w:val="18"/>
        </w:rPr>
        <w:t xml:space="preserve"> sets out the extra amount added for an add</w:t>
      </w:r>
      <w:r w:rsidRPr="004C01F6">
        <w:rPr>
          <w:sz w:val="18"/>
        </w:rPr>
        <w:t>itional breakout room</w:t>
      </w:r>
    </w:p>
    <w:p w:rsidR="00FC54BF" w:rsidRPr="00F948BF" w:rsidRDefault="00623BE4" w:rsidP="00FC54BF">
      <w:pPr>
        <w:spacing w:after="0"/>
        <w:rPr>
          <w:b/>
          <w:sz w:val="18"/>
          <w:szCs w:val="18"/>
        </w:rPr>
      </w:pPr>
      <w:r w:rsidRPr="00AA691B">
        <w:rPr>
          <w:b/>
          <w:sz w:val="18"/>
          <w:szCs w:val="18"/>
        </w:rPr>
        <w:t>Fire Sprinkler</w:t>
      </w:r>
      <w:r w:rsidRPr="00DA1F62">
        <w:rPr>
          <w:sz w:val="18"/>
          <w:szCs w:val="18"/>
        </w:rPr>
        <w:t xml:space="preserve"> </w:t>
      </w:r>
      <w:r w:rsidR="00FC54BF" w:rsidRPr="00F948BF">
        <w:rPr>
          <w:b/>
          <w:sz w:val="18"/>
          <w:szCs w:val="18"/>
        </w:rPr>
        <w:t xml:space="preserve">Allowance </w:t>
      </w:r>
    </w:p>
    <w:p w:rsidR="00FC54BF" w:rsidRPr="00DA1F62" w:rsidRDefault="00FC54BF" w:rsidP="00FC54BF">
      <w:pPr>
        <w:spacing w:after="0"/>
        <w:rPr>
          <w:sz w:val="18"/>
          <w:szCs w:val="18"/>
        </w:rPr>
      </w:pPr>
      <w:r w:rsidRPr="00DA1F62">
        <w:rPr>
          <w:sz w:val="18"/>
          <w:szCs w:val="18"/>
        </w:rPr>
        <w:t xml:space="preserve">Fire </w:t>
      </w:r>
      <w:r>
        <w:rPr>
          <w:sz w:val="18"/>
          <w:szCs w:val="18"/>
        </w:rPr>
        <w:t>S</w:t>
      </w:r>
      <w:r w:rsidRPr="00DA1F62">
        <w:rPr>
          <w:sz w:val="18"/>
          <w:szCs w:val="18"/>
        </w:rPr>
        <w:t xml:space="preserve">prinkler </w:t>
      </w:r>
      <w:r>
        <w:rPr>
          <w:sz w:val="18"/>
          <w:szCs w:val="18"/>
        </w:rPr>
        <w:t>A</w:t>
      </w:r>
      <w:r w:rsidRPr="00DA1F62">
        <w:rPr>
          <w:sz w:val="18"/>
          <w:szCs w:val="18"/>
        </w:rPr>
        <w:t>llowance</w:t>
      </w:r>
      <w:r w:rsidR="00623BE4">
        <w:rPr>
          <w:sz w:val="18"/>
          <w:szCs w:val="18"/>
        </w:rPr>
        <w:t>:</w:t>
      </w:r>
      <w:r w:rsidRPr="00DA1F62">
        <w:rPr>
          <w:sz w:val="18"/>
          <w:szCs w:val="18"/>
        </w:rPr>
        <w:t xml:space="preserve"> </w:t>
      </w:r>
      <w:r w:rsidR="00D132C9">
        <w:rPr>
          <w:sz w:val="18"/>
          <w:szCs w:val="18"/>
        </w:rPr>
        <w:t>+</w:t>
      </w:r>
      <w:r w:rsidRPr="00DA1F62">
        <w:rPr>
          <w:sz w:val="18"/>
          <w:szCs w:val="18"/>
        </w:rPr>
        <w:t xml:space="preserve">1.2% for apartments and </w:t>
      </w:r>
      <w:r w:rsidR="00D132C9">
        <w:rPr>
          <w:sz w:val="18"/>
          <w:szCs w:val="18"/>
        </w:rPr>
        <w:t>+</w:t>
      </w:r>
      <w:r w:rsidRPr="00DA1F62">
        <w:rPr>
          <w:sz w:val="18"/>
          <w:szCs w:val="18"/>
        </w:rPr>
        <w:t>1.9% for other building types</w:t>
      </w:r>
    </w:p>
    <w:p w:rsidR="00655E93" w:rsidRDefault="00655E93">
      <w:pPr>
        <w:spacing w:before="0" w:after="200"/>
        <w:rPr>
          <w:rFonts w:eastAsiaTheme="majorEastAsia" w:cstheme="majorBidi"/>
          <w:b/>
          <w:bCs/>
          <w:sz w:val="36"/>
          <w:szCs w:val="26"/>
        </w:rPr>
      </w:pPr>
      <w:r>
        <w:br w:type="page"/>
      </w:r>
    </w:p>
    <w:p w:rsidR="00A3768E" w:rsidRDefault="00A3768E" w:rsidP="00AE3320">
      <w:pPr>
        <w:pStyle w:val="Heading2"/>
        <w:keepNext/>
        <w:keepLines/>
      </w:pPr>
      <w:bookmarkStart w:id="43" w:name="_Toc477352085"/>
      <w:r>
        <w:t>Location Factors</w:t>
      </w:r>
      <w:bookmarkEnd w:id="43"/>
    </w:p>
    <w:p w:rsidR="001C63AB" w:rsidRPr="005C4E27" w:rsidRDefault="001C63AB" w:rsidP="001C63AB">
      <w:pPr>
        <w:pStyle w:val="Caption"/>
      </w:pPr>
      <w:bookmarkStart w:id="44" w:name="_Ref452411510"/>
      <w:bookmarkStart w:id="45" w:name="_Ref454353912"/>
      <w:r w:rsidRPr="005C4E27">
        <w:t xml:space="preserve">Table </w:t>
      </w:r>
      <w:r w:rsidRPr="00ED4EE8">
        <w:fldChar w:fldCharType="begin"/>
      </w:r>
      <w:r w:rsidRPr="005C4E27">
        <w:instrText xml:space="preserve"> SEQ Table \* ARABIC </w:instrText>
      </w:r>
      <w:r w:rsidRPr="00ED4EE8">
        <w:fldChar w:fldCharType="separate"/>
      </w:r>
      <w:r w:rsidR="00B74B5B">
        <w:rPr>
          <w:noProof/>
        </w:rPr>
        <w:t>6</w:t>
      </w:r>
      <w:r w:rsidRPr="00ED4EE8">
        <w:fldChar w:fldCharType="end"/>
      </w:r>
      <w:bookmarkEnd w:id="44"/>
      <w:r>
        <w:t>: Location factors</w:t>
      </w:r>
      <w:bookmarkEnd w:id="45"/>
    </w:p>
    <w:tbl>
      <w:tblPr>
        <w:tblW w:w="15304" w:type="dxa"/>
        <w:tblLayout w:type="fixed"/>
        <w:tblCellMar>
          <w:left w:w="28" w:type="dxa"/>
          <w:right w:w="28" w:type="dxa"/>
        </w:tblCellMar>
        <w:tblLook w:val="04A0" w:firstRow="1" w:lastRow="0" w:firstColumn="1" w:lastColumn="0" w:noHBand="0" w:noVBand="1"/>
      </w:tblPr>
      <w:tblGrid>
        <w:gridCol w:w="3681"/>
        <w:gridCol w:w="1056"/>
        <w:gridCol w:w="1057"/>
        <w:gridCol w:w="1056"/>
        <w:gridCol w:w="1083"/>
        <w:gridCol w:w="1031"/>
        <w:gridCol w:w="1056"/>
        <w:gridCol w:w="1032"/>
        <w:gridCol w:w="1082"/>
        <w:gridCol w:w="1044"/>
        <w:gridCol w:w="1069"/>
        <w:gridCol w:w="1057"/>
      </w:tblGrid>
      <w:tr w:rsidR="000C56BF" w:rsidRPr="005C4E27" w:rsidTr="000C56BF">
        <w:trPr>
          <w:cantSplit/>
          <w:trHeight w:val="303"/>
          <w:tblHeader/>
        </w:trPr>
        <w:tc>
          <w:tcPr>
            <w:tcW w:w="3681" w:type="dxa"/>
            <w:vMerge w:val="restart"/>
            <w:tcBorders>
              <w:top w:val="single" w:sz="4" w:space="0" w:color="7030A0"/>
              <w:left w:val="single" w:sz="4" w:space="0" w:color="7030A0"/>
              <w:right w:val="single" w:sz="4" w:space="0" w:color="FFFFFF" w:themeColor="background1"/>
            </w:tcBorders>
            <w:shd w:val="clear" w:color="auto" w:fill="7030A0"/>
            <w:noWrap/>
            <w:vAlign w:val="center"/>
          </w:tcPr>
          <w:p w:rsidR="000C56BF" w:rsidRPr="005C4E27" w:rsidRDefault="000C56BF" w:rsidP="000C56BF">
            <w:pPr>
              <w:spacing w:after="0" w:line="240" w:lineRule="auto"/>
              <w:ind w:left="109"/>
              <w:rPr>
                <w:rFonts w:eastAsia="Times New Roman" w:cs="Times New Roman"/>
                <w:b/>
                <w:color w:val="FFFFFF" w:themeColor="background1"/>
                <w:sz w:val="20"/>
                <w:szCs w:val="20"/>
                <w:lang w:eastAsia="en-AU"/>
              </w:rPr>
            </w:pPr>
            <w:r w:rsidRPr="005C4E27">
              <w:rPr>
                <w:rFonts w:eastAsia="Times New Roman" w:cs="Times New Roman"/>
                <w:b/>
                <w:color w:val="FFFFFF" w:themeColor="background1"/>
                <w:sz w:val="18"/>
                <w:szCs w:val="20"/>
                <w:lang w:eastAsia="en-AU"/>
              </w:rPr>
              <w:t>Location</w:t>
            </w:r>
          </w:p>
        </w:tc>
        <w:tc>
          <w:tcPr>
            <w:tcW w:w="4252" w:type="dxa"/>
            <w:gridSpan w:val="4"/>
            <w:tcBorders>
              <w:top w:val="single" w:sz="4" w:space="0" w:color="FFFFFF" w:themeColor="background1"/>
              <w:left w:val="single" w:sz="4" w:space="0" w:color="FFFFFF" w:themeColor="background1"/>
              <w:right w:val="single" w:sz="4" w:space="0" w:color="FFFFFF" w:themeColor="background1"/>
            </w:tcBorders>
            <w:shd w:val="clear" w:color="auto" w:fill="7030A0"/>
          </w:tcPr>
          <w:p w:rsidR="000C56BF" w:rsidRPr="005C4E27" w:rsidRDefault="000C56BF" w:rsidP="0032246B">
            <w:pPr>
              <w:spacing w:after="0" w:line="240" w:lineRule="auto"/>
              <w:jc w:val="center"/>
              <w:rPr>
                <w:rFonts w:eastAsia="Times New Roman" w:cs="Times New Roman"/>
                <w:b/>
                <w:color w:val="FFFFFF" w:themeColor="background1"/>
                <w:sz w:val="18"/>
                <w:szCs w:val="18"/>
                <w:lang w:eastAsia="en-AU"/>
              </w:rPr>
            </w:pPr>
            <w:r w:rsidRPr="005C4E27">
              <w:rPr>
                <w:rFonts w:eastAsia="Times New Roman" w:cs="Times New Roman"/>
                <w:b/>
                <w:color w:val="FFFFFF" w:themeColor="background1"/>
                <w:sz w:val="18"/>
                <w:szCs w:val="18"/>
                <w:lang w:eastAsia="en-AU"/>
              </w:rPr>
              <w:t>Apartment</w:t>
            </w:r>
          </w:p>
        </w:tc>
        <w:tc>
          <w:tcPr>
            <w:tcW w:w="3119"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30A0"/>
            <w:vAlign w:val="center"/>
          </w:tcPr>
          <w:p w:rsidR="000C56BF" w:rsidRPr="005C4E27" w:rsidRDefault="000C56BF" w:rsidP="0032246B">
            <w:pPr>
              <w:spacing w:after="0" w:line="240" w:lineRule="auto"/>
              <w:jc w:val="center"/>
              <w:rPr>
                <w:rFonts w:eastAsia="Times New Roman" w:cs="Times New Roman"/>
                <w:b/>
                <w:color w:val="FFFFFF" w:themeColor="background1"/>
                <w:sz w:val="18"/>
                <w:szCs w:val="18"/>
                <w:lang w:eastAsia="en-AU"/>
              </w:rPr>
            </w:pPr>
            <w:r w:rsidRPr="005C4E27">
              <w:rPr>
                <w:rFonts w:eastAsia="Times New Roman" w:cs="Times New Roman"/>
                <w:b/>
                <w:color w:val="FFFFFF" w:themeColor="background1"/>
                <w:sz w:val="18"/>
                <w:szCs w:val="18"/>
                <w:lang w:eastAsia="en-AU"/>
              </w:rPr>
              <w:t>Villa</w:t>
            </w:r>
            <w:r>
              <w:rPr>
                <w:rFonts w:eastAsia="Times New Roman" w:cs="Times New Roman"/>
                <w:b/>
                <w:color w:val="FFFFFF" w:themeColor="background1"/>
                <w:sz w:val="18"/>
                <w:szCs w:val="18"/>
                <w:lang w:eastAsia="en-AU"/>
              </w:rPr>
              <w:t xml:space="preserve"> / </w:t>
            </w:r>
            <w:r w:rsidRPr="005C4E27">
              <w:rPr>
                <w:rFonts w:eastAsia="Times New Roman" w:cs="Times New Roman"/>
                <w:b/>
                <w:color w:val="FFFFFF" w:themeColor="background1"/>
                <w:sz w:val="18"/>
                <w:szCs w:val="18"/>
                <w:lang w:eastAsia="en-AU"/>
              </w:rPr>
              <w:t xml:space="preserve"> </w:t>
            </w:r>
            <w:r>
              <w:rPr>
                <w:rFonts w:eastAsia="Times New Roman" w:cs="Times New Roman"/>
                <w:b/>
                <w:color w:val="FFFFFF" w:themeColor="background1"/>
                <w:sz w:val="18"/>
                <w:szCs w:val="18"/>
                <w:lang w:eastAsia="en-AU"/>
              </w:rPr>
              <w:t>D</w:t>
            </w:r>
            <w:r w:rsidRPr="005C4E27">
              <w:rPr>
                <w:rFonts w:eastAsia="Times New Roman" w:cs="Times New Roman"/>
                <w:b/>
                <w:color w:val="FFFFFF" w:themeColor="background1"/>
                <w:sz w:val="18"/>
                <w:szCs w:val="18"/>
                <w:lang w:eastAsia="en-AU"/>
              </w:rPr>
              <w:t>uplex</w:t>
            </w:r>
            <w:r>
              <w:rPr>
                <w:rFonts w:eastAsia="Times New Roman" w:cs="Times New Roman"/>
                <w:b/>
                <w:color w:val="FFFFFF" w:themeColor="background1"/>
                <w:sz w:val="18"/>
                <w:szCs w:val="18"/>
                <w:lang w:eastAsia="en-AU"/>
              </w:rPr>
              <w:t xml:space="preserve"> / T</w:t>
            </w:r>
            <w:r w:rsidRPr="005C4E27">
              <w:rPr>
                <w:rFonts w:eastAsia="Times New Roman" w:cs="Times New Roman"/>
                <w:b/>
                <w:color w:val="FFFFFF" w:themeColor="background1"/>
                <w:sz w:val="18"/>
                <w:szCs w:val="18"/>
                <w:lang w:eastAsia="en-AU"/>
              </w:rPr>
              <w:t>ownhouse</w:t>
            </w:r>
          </w:p>
        </w:tc>
        <w:tc>
          <w:tcPr>
            <w:tcW w:w="212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30A0"/>
            <w:vAlign w:val="center"/>
          </w:tcPr>
          <w:p w:rsidR="000C56BF" w:rsidRPr="005C4E27" w:rsidRDefault="000C56BF" w:rsidP="0032246B">
            <w:pPr>
              <w:spacing w:after="0" w:line="240" w:lineRule="auto"/>
              <w:jc w:val="center"/>
              <w:rPr>
                <w:rFonts w:eastAsia="Times New Roman" w:cs="Times New Roman"/>
                <w:b/>
                <w:color w:val="FFFFFF" w:themeColor="background1"/>
                <w:sz w:val="18"/>
                <w:szCs w:val="18"/>
                <w:lang w:eastAsia="en-AU"/>
              </w:rPr>
            </w:pPr>
            <w:r w:rsidRPr="005C4E27">
              <w:rPr>
                <w:rFonts w:eastAsia="Times New Roman" w:cs="Times New Roman"/>
                <w:b/>
                <w:color w:val="FFFFFF" w:themeColor="background1"/>
                <w:sz w:val="18"/>
                <w:szCs w:val="18"/>
                <w:lang w:eastAsia="en-AU"/>
              </w:rPr>
              <w:t>House</w:t>
            </w:r>
          </w:p>
        </w:tc>
        <w:tc>
          <w:tcPr>
            <w:tcW w:w="2126" w:type="dxa"/>
            <w:gridSpan w:val="2"/>
            <w:tcBorders>
              <w:top w:val="single" w:sz="4" w:space="0" w:color="FFFFFF" w:themeColor="background1"/>
              <w:left w:val="single" w:sz="4" w:space="0" w:color="FFFFFF" w:themeColor="background1"/>
              <w:bottom w:val="single" w:sz="4" w:space="0" w:color="FFFFFF" w:themeColor="background1"/>
              <w:right w:val="single" w:sz="4" w:space="0" w:color="7030A0"/>
            </w:tcBorders>
            <w:shd w:val="clear" w:color="auto" w:fill="7030A0"/>
            <w:vAlign w:val="center"/>
          </w:tcPr>
          <w:p w:rsidR="000C56BF" w:rsidRPr="005C4E27" w:rsidRDefault="000C56BF" w:rsidP="0032246B">
            <w:pPr>
              <w:spacing w:after="0" w:line="240" w:lineRule="auto"/>
              <w:jc w:val="center"/>
              <w:rPr>
                <w:rFonts w:eastAsia="Times New Roman" w:cs="Times New Roman"/>
                <w:b/>
                <w:color w:val="FFFFFF" w:themeColor="background1"/>
                <w:sz w:val="18"/>
                <w:szCs w:val="18"/>
                <w:lang w:eastAsia="en-AU"/>
              </w:rPr>
            </w:pPr>
            <w:r w:rsidRPr="005C4E27">
              <w:rPr>
                <w:rFonts w:eastAsia="Times New Roman" w:cs="Times New Roman"/>
                <w:b/>
                <w:color w:val="FFFFFF" w:themeColor="background1"/>
                <w:sz w:val="18"/>
                <w:szCs w:val="18"/>
                <w:lang w:eastAsia="en-AU"/>
              </w:rPr>
              <w:t xml:space="preserve">Group </w:t>
            </w:r>
            <w:r>
              <w:rPr>
                <w:rFonts w:eastAsia="Times New Roman" w:cs="Times New Roman"/>
                <w:b/>
                <w:color w:val="FFFFFF" w:themeColor="background1"/>
                <w:sz w:val="18"/>
                <w:szCs w:val="18"/>
                <w:lang w:eastAsia="en-AU"/>
              </w:rPr>
              <w:t>home</w:t>
            </w:r>
          </w:p>
        </w:tc>
      </w:tr>
      <w:tr w:rsidR="00826269" w:rsidRPr="005C4E27" w:rsidTr="000C56BF">
        <w:trPr>
          <w:cantSplit/>
          <w:trHeight w:val="540"/>
          <w:tblHeader/>
        </w:trPr>
        <w:tc>
          <w:tcPr>
            <w:tcW w:w="3681" w:type="dxa"/>
            <w:vMerge/>
            <w:tcBorders>
              <w:left w:val="single" w:sz="4" w:space="0" w:color="7030A0"/>
              <w:bottom w:val="single" w:sz="4" w:space="0" w:color="FFFFFF" w:themeColor="background1"/>
              <w:right w:val="single" w:sz="4" w:space="0" w:color="FFFFFF" w:themeColor="background1"/>
            </w:tcBorders>
            <w:shd w:val="clear" w:color="auto" w:fill="7030A0"/>
            <w:noWrap/>
            <w:vAlign w:val="center"/>
            <w:hideMark/>
          </w:tcPr>
          <w:p w:rsidR="000C56BF" w:rsidRPr="005C4E27" w:rsidRDefault="000C56BF" w:rsidP="000C56BF">
            <w:pPr>
              <w:spacing w:after="0" w:line="240" w:lineRule="auto"/>
              <w:ind w:left="109"/>
              <w:rPr>
                <w:rFonts w:eastAsia="Times New Roman" w:cs="Times New Roman"/>
                <w:b/>
                <w:color w:val="FFFFFF" w:themeColor="background1"/>
                <w:sz w:val="20"/>
                <w:szCs w:val="20"/>
                <w:lang w:eastAsia="en-AU"/>
              </w:rPr>
            </w:pPr>
          </w:p>
        </w:tc>
        <w:tc>
          <w:tcPr>
            <w:tcW w:w="10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30A0"/>
            <w:vAlign w:val="center"/>
          </w:tcPr>
          <w:p w:rsidR="000C56BF" w:rsidRPr="005C4E27" w:rsidRDefault="000C56BF" w:rsidP="0032246B">
            <w:pPr>
              <w:spacing w:after="0" w:line="240" w:lineRule="auto"/>
              <w:jc w:val="center"/>
              <w:rPr>
                <w:rFonts w:eastAsia="Times New Roman" w:cs="Times New Roman"/>
                <w:b/>
                <w:color w:val="FFFFFF" w:themeColor="background1"/>
                <w:sz w:val="16"/>
                <w:szCs w:val="16"/>
                <w:lang w:eastAsia="en-AU"/>
              </w:rPr>
            </w:pPr>
            <w:r w:rsidRPr="005C4E27">
              <w:rPr>
                <w:rFonts w:eastAsia="Times New Roman" w:cs="Times New Roman"/>
                <w:b/>
                <w:color w:val="FFFFFF" w:themeColor="background1"/>
                <w:sz w:val="16"/>
                <w:szCs w:val="16"/>
                <w:lang w:eastAsia="en-AU"/>
              </w:rPr>
              <w:t>1 bedroom</w:t>
            </w:r>
          </w:p>
          <w:p w:rsidR="000C56BF" w:rsidRPr="005C4E27" w:rsidRDefault="000C56BF" w:rsidP="0032246B">
            <w:pPr>
              <w:spacing w:after="0" w:line="240" w:lineRule="auto"/>
              <w:jc w:val="center"/>
              <w:rPr>
                <w:rFonts w:eastAsia="Times New Roman" w:cs="Times New Roman"/>
                <w:b/>
                <w:color w:val="FFFFFF" w:themeColor="background1"/>
                <w:sz w:val="16"/>
                <w:szCs w:val="16"/>
                <w:lang w:eastAsia="en-AU"/>
              </w:rPr>
            </w:pPr>
            <w:r w:rsidRPr="005C4E27">
              <w:rPr>
                <w:rFonts w:eastAsia="Times New Roman" w:cs="Times New Roman"/>
                <w:b/>
                <w:color w:val="FFFFFF" w:themeColor="background1"/>
                <w:sz w:val="16"/>
                <w:szCs w:val="16"/>
                <w:lang w:eastAsia="en-AU"/>
              </w:rPr>
              <w:t>1 resident</w:t>
            </w:r>
          </w:p>
        </w:tc>
        <w:tc>
          <w:tcPr>
            <w:tcW w:w="10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30A0"/>
            <w:vAlign w:val="center"/>
          </w:tcPr>
          <w:p w:rsidR="000C56BF" w:rsidRPr="005C4E27" w:rsidRDefault="000C56BF" w:rsidP="0032246B">
            <w:pPr>
              <w:spacing w:after="0" w:line="240" w:lineRule="auto"/>
              <w:jc w:val="center"/>
              <w:rPr>
                <w:rFonts w:eastAsia="Times New Roman" w:cs="Times New Roman"/>
                <w:b/>
                <w:color w:val="FFFFFF" w:themeColor="background1"/>
                <w:sz w:val="16"/>
                <w:szCs w:val="16"/>
                <w:lang w:eastAsia="en-AU"/>
              </w:rPr>
            </w:pPr>
            <w:r w:rsidRPr="005C4E27">
              <w:rPr>
                <w:rFonts w:eastAsia="Times New Roman" w:cs="Times New Roman"/>
                <w:b/>
                <w:color w:val="FFFFFF" w:themeColor="background1"/>
                <w:sz w:val="16"/>
                <w:szCs w:val="16"/>
                <w:lang w:eastAsia="en-AU"/>
              </w:rPr>
              <w:t>2 bedrooms</w:t>
            </w:r>
          </w:p>
          <w:p w:rsidR="000C56BF" w:rsidRPr="005C4E27" w:rsidRDefault="000C56BF" w:rsidP="0032246B">
            <w:pPr>
              <w:spacing w:after="0" w:line="240" w:lineRule="auto"/>
              <w:jc w:val="center"/>
              <w:rPr>
                <w:rFonts w:eastAsia="Times New Roman" w:cs="Times New Roman"/>
                <w:b/>
                <w:color w:val="FFFFFF" w:themeColor="background1"/>
                <w:sz w:val="16"/>
                <w:szCs w:val="16"/>
                <w:lang w:eastAsia="en-AU"/>
              </w:rPr>
            </w:pPr>
            <w:r w:rsidRPr="005C4E27">
              <w:rPr>
                <w:rFonts w:eastAsia="Times New Roman" w:cs="Times New Roman"/>
                <w:b/>
                <w:color w:val="FFFFFF" w:themeColor="background1"/>
                <w:sz w:val="16"/>
                <w:szCs w:val="16"/>
                <w:lang w:eastAsia="en-AU"/>
              </w:rPr>
              <w:t>1 resident</w:t>
            </w:r>
          </w:p>
        </w:tc>
        <w:tc>
          <w:tcPr>
            <w:tcW w:w="10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30A0"/>
          </w:tcPr>
          <w:p w:rsidR="000C56BF" w:rsidRPr="005C4E27" w:rsidRDefault="000C56BF" w:rsidP="000C56BF">
            <w:pPr>
              <w:spacing w:after="0" w:line="240" w:lineRule="auto"/>
              <w:jc w:val="center"/>
              <w:rPr>
                <w:rFonts w:eastAsia="Times New Roman" w:cs="Times New Roman"/>
                <w:b/>
                <w:color w:val="FFFFFF" w:themeColor="background1"/>
                <w:sz w:val="16"/>
                <w:szCs w:val="16"/>
                <w:lang w:eastAsia="en-AU"/>
              </w:rPr>
            </w:pPr>
            <w:r w:rsidRPr="005C4E27">
              <w:rPr>
                <w:rFonts w:eastAsia="Times New Roman" w:cs="Times New Roman"/>
                <w:b/>
                <w:color w:val="FFFFFF" w:themeColor="background1"/>
                <w:sz w:val="16"/>
                <w:szCs w:val="16"/>
                <w:lang w:eastAsia="en-AU"/>
              </w:rPr>
              <w:t>2 bedrooms</w:t>
            </w:r>
          </w:p>
          <w:p w:rsidR="000C56BF" w:rsidRPr="005C4E27" w:rsidRDefault="000C56BF" w:rsidP="000C56BF">
            <w:pPr>
              <w:spacing w:after="0" w:line="240" w:lineRule="auto"/>
              <w:jc w:val="center"/>
              <w:rPr>
                <w:rFonts w:eastAsia="Times New Roman" w:cs="Times New Roman"/>
                <w:b/>
                <w:color w:val="FFFFFF" w:themeColor="background1"/>
                <w:sz w:val="16"/>
                <w:szCs w:val="16"/>
                <w:lang w:eastAsia="en-AU"/>
              </w:rPr>
            </w:pPr>
            <w:r>
              <w:rPr>
                <w:rFonts w:eastAsia="Times New Roman" w:cs="Times New Roman"/>
                <w:b/>
                <w:color w:val="FFFFFF" w:themeColor="background1"/>
                <w:sz w:val="16"/>
                <w:szCs w:val="16"/>
                <w:lang w:eastAsia="en-AU"/>
              </w:rPr>
              <w:t>2</w:t>
            </w:r>
            <w:r w:rsidRPr="005C4E27">
              <w:rPr>
                <w:rFonts w:eastAsia="Times New Roman" w:cs="Times New Roman"/>
                <w:b/>
                <w:color w:val="FFFFFF" w:themeColor="background1"/>
                <w:sz w:val="16"/>
                <w:szCs w:val="16"/>
                <w:lang w:eastAsia="en-AU"/>
              </w:rPr>
              <w:t xml:space="preserve"> resident</w:t>
            </w:r>
          </w:p>
        </w:tc>
        <w:tc>
          <w:tcPr>
            <w:tcW w:w="10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30A0"/>
            <w:vAlign w:val="center"/>
          </w:tcPr>
          <w:p w:rsidR="000C56BF" w:rsidRPr="005C4E27" w:rsidRDefault="000C56BF" w:rsidP="0032246B">
            <w:pPr>
              <w:spacing w:after="0" w:line="240" w:lineRule="auto"/>
              <w:jc w:val="center"/>
              <w:rPr>
                <w:rFonts w:eastAsia="Times New Roman" w:cs="Times New Roman"/>
                <w:b/>
                <w:color w:val="FFFFFF" w:themeColor="background1"/>
                <w:sz w:val="16"/>
                <w:szCs w:val="16"/>
                <w:lang w:eastAsia="en-AU"/>
              </w:rPr>
            </w:pPr>
            <w:r w:rsidRPr="005C4E27">
              <w:rPr>
                <w:rFonts w:eastAsia="Times New Roman" w:cs="Times New Roman"/>
                <w:b/>
                <w:color w:val="FFFFFF" w:themeColor="background1"/>
                <w:sz w:val="16"/>
                <w:szCs w:val="16"/>
                <w:lang w:eastAsia="en-AU"/>
              </w:rPr>
              <w:t>3 bedrooms</w:t>
            </w:r>
          </w:p>
          <w:p w:rsidR="000C56BF" w:rsidRPr="005C4E27" w:rsidRDefault="000C56BF" w:rsidP="0032246B">
            <w:pPr>
              <w:spacing w:after="0" w:line="240" w:lineRule="auto"/>
              <w:jc w:val="center"/>
              <w:rPr>
                <w:rFonts w:eastAsia="Times New Roman" w:cs="Times New Roman"/>
                <w:b/>
                <w:color w:val="FFFFFF" w:themeColor="background1"/>
                <w:sz w:val="16"/>
                <w:szCs w:val="16"/>
                <w:lang w:eastAsia="en-AU"/>
              </w:rPr>
            </w:pPr>
            <w:r w:rsidRPr="005C4E27">
              <w:rPr>
                <w:rFonts w:eastAsia="Times New Roman" w:cs="Times New Roman"/>
                <w:b/>
                <w:color w:val="FFFFFF" w:themeColor="background1"/>
                <w:sz w:val="16"/>
                <w:szCs w:val="16"/>
                <w:lang w:eastAsia="en-AU"/>
              </w:rPr>
              <w:t>2 residents</w:t>
            </w:r>
          </w:p>
        </w:tc>
        <w:tc>
          <w:tcPr>
            <w:tcW w:w="1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30A0"/>
            <w:vAlign w:val="center"/>
          </w:tcPr>
          <w:p w:rsidR="000C56BF" w:rsidRPr="005C4E27" w:rsidRDefault="000C56BF" w:rsidP="000C56BF">
            <w:pPr>
              <w:spacing w:after="0" w:line="240" w:lineRule="auto"/>
              <w:jc w:val="center"/>
              <w:rPr>
                <w:rFonts w:eastAsia="Times New Roman" w:cs="Times New Roman"/>
                <w:b/>
                <w:color w:val="FFFFFF" w:themeColor="background1"/>
                <w:sz w:val="16"/>
                <w:szCs w:val="16"/>
                <w:lang w:eastAsia="en-AU"/>
              </w:rPr>
            </w:pPr>
            <w:r w:rsidRPr="005C4E27">
              <w:rPr>
                <w:rFonts w:eastAsia="Times New Roman" w:cs="Times New Roman"/>
                <w:b/>
                <w:color w:val="FFFFFF" w:themeColor="background1"/>
                <w:sz w:val="16"/>
                <w:szCs w:val="16"/>
                <w:lang w:eastAsia="en-AU"/>
              </w:rPr>
              <w:t>1</w:t>
            </w:r>
            <w:r>
              <w:rPr>
                <w:rFonts w:eastAsia="Times New Roman" w:cs="Times New Roman"/>
                <w:b/>
                <w:color w:val="FFFFFF" w:themeColor="background1"/>
                <w:sz w:val="16"/>
                <w:szCs w:val="16"/>
                <w:lang w:eastAsia="en-AU"/>
              </w:rPr>
              <w:t xml:space="preserve"> </w:t>
            </w:r>
            <w:r w:rsidRPr="005C4E27">
              <w:rPr>
                <w:rFonts w:eastAsia="Times New Roman" w:cs="Times New Roman"/>
                <w:b/>
                <w:color w:val="FFFFFF" w:themeColor="background1"/>
                <w:sz w:val="16"/>
                <w:szCs w:val="16"/>
                <w:lang w:eastAsia="en-AU"/>
              </w:rPr>
              <w:t>resident</w:t>
            </w:r>
          </w:p>
        </w:tc>
        <w:tc>
          <w:tcPr>
            <w:tcW w:w="10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30A0"/>
            <w:vAlign w:val="center"/>
          </w:tcPr>
          <w:p w:rsidR="000C56BF" w:rsidRPr="005C4E27" w:rsidRDefault="000C56BF" w:rsidP="0032246B">
            <w:pPr>
              <w:spacing w:after="0" w:line="240" w:lineRule="auto"/>
              <w:jc w:val="center"/>
              <w:rPr>
                <w:rFonts w:eastAsia="Times New Roman" w:cs="Times New Roman"/>
                <w:b/>
                <w:color w:val="FFFFFF" w:themeColor="background1"/>
                <w:sz w:val="16"/>
                <w:szCs w:val="16"/>
                <w:lang w:eastAsia="en-AU"/>
              </w:rPr>
            </w:pPr>
            <w:r w:rsidRPr="005C4E27">
              <w:rPr>
                <w:rFonts w:eastAsia="Times New Roman" w:cs="Times New Roman"/>
                <w:b/>
                <w:color w:val="FFFFFF" w:themeColor="background1"/>
                <w:sz w:val="16"/>
                <w:szCs w:val="16"/>
                <w:lang w:eastAsia="en-AU"/>
              </w:rPr>
              <w:t>2 residents</w:t>
            </w:r>
          </w:p>
        </w:tc>
        <w:tc>
          <w:tcPr>
            <w:tcW w:w="10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30A0"/>
            <w:vAlign w:val="center"/>
          </w:tcPr>
          <w:p w:rsidR="000C56BF" w:rsidRPr="005C4E27" w:rsidRDefault="000C56BF" w:rsidP="0032246B">
            <w:pPr>
              <w:spacing w:after="0" w:line="240" w:lineRule="auto"/>
              <w:jc w:val="center"/>
              <w:rPr>
                <w:rFonts w:eastAsia="Times New Roman" w:cs="Times New Roman"/>
                <w:b/>
                <w:color w:val="FFFFFF" w:themeColor="background1"/>
                <w:sz w:val="16"/>
                <w:szCs w:val="16"/>
                <w:lang w:eastAsia="en-AU"/>
              </w:rPr>
            </w:pPr>
            <w:r w:rsidRPr="005C4E27">
              <w:rPr>
                <w:rFonts w:eastAsia="Times New Roman" w:cs="Times New Roman"/>
                <w:b/>
                <w:color w:val="FFFFFF" w:themeColor="background1"/>
                <w:sz w:val="16"/>
                <w:szCs w:val="16"/>
                <w:lang w:eastAsia="en-AU"/>
              </w:rPr>
              <w:t>3 residents</w:t>
            </w:r>
          </w:p>
        </w:tc>
        <w:tc>
          <w:tcPr>
            <w:tcW w:w="10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30A0"/>
            <w:vAlign w:val="center"/>
          </w:tcPr>
          <w:p w:rsidR="000C56BF" w:rsidRPr="005C4E27" w:rsidRDefault="000C56BF" w:rsidP="0032246B">
            <w:pPr>
              <w:spacing w:after="0" w:line="240" w:lineRule="auto"/>
              <w:jc w:val="center"/>
              <w:rPr>
                <w:rFonts w:eastAsia="Times New Roman" w:cs="Times New Roman"/>
                <w:b/>
                <w:color w:val="FFFFFF" w:themeColor="background1"/>
                <w:sz w:val="16"/>
                <w:szCs w:val="16"/>
                <w:lang w:eastAsia="en-AU"/>
              </w:rPr>
            </w:pPr>
            <w:r w:rsidRPr="005C4E27">
              <w:rPr>
                <w:rFonts w:eastAsia="Times New Roman" w:cs="Times New Roman"/>
                <w:b/>
                <w:color w:val="FFFFFF" w:themeColor="background1"/>
                <w:sz w:val="16"/>
                <w:szCs w:val="16"/>
                <w:lang w:eastAsia="en-AU"/>
              </w:rPr>
              <w:t>2 residents</w:t>
            </w:r>
          </w:p>
        </w:tc>
        <w:tc>
          <w:tcPr>
            <w:tcW w:w="1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30A0"/>
            <w:vAlign w:val="center"/>
          </w:tcPr>
          <w:p w:rsidR="000C56BF" w:rsidRPr="005C4E27" w:rsidRDefault="000C56BF" w:rsidP="0032246B">
            <w:pPr>
              <w:spacing w:after="0" w:line="240" w:lineRule="auto"/>
              <w:jc w:val="center"/>
              <w:rPr>
                <w:rFonts w:eastAsia="Times New Roman" w:cs="Times New Roman"/>
                <w:b/>
                <w:color w:val="FFFFFF" w:themeColor="background1"/>
                <w:sz w:val="16"/>
                <w:szCs w:val="16"/>
                <w:lang w:eastAsia="en-AU"/>
              </w:rPr>
            </w:pPr>
            <w:r w:rsidRPr="005C4E27">
              <w:rPr>
                <w:rFonts w:eastAsia="Times New Roman" w:cs="Times New Roman"/>
                <w:b/>
                <w:color w:val="FFFFFF" w:themeColor="background1"/>
                <w:sz w:val="16"/>
                <w:szCs w:val="16"/>
                <w:lang w:eastAsia="en-AU"/>
              </w:rPr>
              <w:t>3 residents</w:t>
            </w:r>
          </w:p>
        </w:tc>
        <w:tc>
          <w:tcPr>
            <w:tcW w:w="10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30A0"/>
            <w:vAlign w:val="center"/>
          </w:tcPr>
          <w:p w:rsidR="000C56BF" w:rsidRPr="005C4E27" w:rsidRDefault="000C56BF" w:rsidP="0032246B">
            <w:pPr>
              <w:spacing w:after="0" w:line="240" w:lineRule="auto"/>
              <w:jc w:val="center"/>
              <w:rPr>
                <w:rFonts w:eastAsia="Times New Roman" w:cs="Times New Roman"/>
                <w:b/>
                <w:color w:val="FFFFFF" w:themeColor="background1"/>
                <w:sz w:val="16"/>
                <w:szCs w:val="16"/>
                <w:lang w:eastAsia="en-AU"/>
              </w:rPr>
            </w:pPr>
            <w:r w:rsidRPr="005C4E27">
              <w:rPr>
                <w:rFonts w:eastAsia="Times New Roman" w:cs="Times New Roman"/>
                <w:b/>
                <w:color w:val="FFFFFF" w:themeColor="background1"/>
                <w:sz w:val="16"/>
                <w:szCs w:val="16"/>
                <w:lang w:eastAsia="en-AU"/>
              </w:rPr>
              <w:t>4 residents</w:t>
            </w:r>
          </w:p>
        </w:tc>
        <w:tc>
          <w:tcPr>
            <w:tcW w:w="1057" w:type="dxa"/>
            <w:tcBorders>
              <w:top w:val="single" w:sz="4" w:space="0" w:color="FFFFFF" w:themeColor="background1"/>
              <w:left w:val="single" w:sz="4" w:space="0" w:color="FFFFFF" w:themeColor="background1"/>
              <w:bottom w:val="single" w:sz="4" w:space="0" w:color="FFFFFF" w:themeColor="background1"/>
              <w:right w:val="single" w:sz="4" w:space="0" w:color="7030A0"/>
            </w:tcBorders>
            <w:shd w:val="clear" w:color="auto" w:fill="7030A0"/>
            <w:vAlign w:val="center"/>
          </w:tcPr>
          <w:p w:rsidR="000C56BF" w:rsidRPr="005C4E27" w:rsidRDefault="000C56BF" w:rsidP="0032246B">
            <w:pPr>
              <w:spacing w:after="0" w:line="240" w:lineRule="auto"/>
              <w:jc w:val="center"/>
              <w:rPr>
                <w:rFonts w:eastAsia="Times New Roman" w:cs="Times New Roman"/>
                <w:b/>
                <w:color w:val="FFFFFF" w:themeColor="background1"/>
                <w:sz w:val="16"/>
                <w:szCs w:val="16"/>
                <w:lang w:eastAsia="en-AU"/>
              </w:rPr>
            </w:pPr>
            <w:r w:rsidRPr="005C4E27">
              <w:rPr>
                <w:rFonts w:eastAsia="Times New Roman" w:cs="Times New Roman"/>
                <w:b/>
                <w:color w:val="FFFFFF" w:themeColor="background1"/>
                <w:sz w:val="16"/>
                <w:szCs w:val="16"/>
                <w:lang w:eastAsia="en-AU"/>
              </w:rPr>
              <w:t>5 residents</w:t>
            </w:r>
          </w:p>
        </w:tc>
      </w:tr>
      <w:tr w:rsidR="000C56BF" w:rsidRPr="00E15AE7" w:rsidTr="00EC298B">
        <w:trPr>
          <w:trHeight w:val="240"/>
        </w:trPr>
        <w:tc>
          <w:tcPr>
            <w:tcW w:w="3681" w:type="dxa"/>
            <w:tcBorders>
              <w:top w:val="single" w:sz="4" w:space="0" w:color="FFFFFF" w:themeColor="background1"/>
              <w:left w:val="single" w:sz="4" w:space="0" w:color="7030A0"/>
              <w:bottom w:val="single" w:sz="4" w:space="0" w:color="7030A0"/>
              <w:right w:val="single" w:sz="4" w:space="0" w:color="7030A0"/>
            </w:tcBorders>
            <w:shd w:val="clear" w:color="000000" w:fill="FFFFFF"/>
            <w:noWrap/>
            <w:vAlign w:val="bottom"/>
          </w:tcPr>
          <w:p w:rsidR="000C56BF" w:rsidRPr="00E15AE7" w:rsidRDefault="000C56BF" w:rsidP="000C56BF">
            <w:pPr>
              <w:spacing w:before="20" w:after="20" w:line="240" w:lineRule="auto"/>
              <w:ind w:left="109"/>
              <w:rPr>
                <w:rFonts w:eastAsia="Times New Roman" w:cs="Arial"/>
                <w:color w:val="000000"/>
                <w:sz w:val="18"/>
                <w:szCs w:val="18"/>
                <w:lang w:eastAsia="en-AU"/>
              </w:rPr>
            </w:pPr>
            <w:r w:rsidRPr="00E15AE7">
              <w:rPr>
                <w:rFonts w:cs="Arial"/>
                <w:color w:val="000000"/>
                <w:sz w:val="18"/>
                <w:szCs w:val="18"/>
              </w:rPr>
              <w:t>Median capital city</w:t>
            </w:r>
          </w:p>
        </w:tc>
        <w:tc>
          <w:tcPr>
            <w:tcW w:w="1056" w:type="dxa"/>
            <w:tcBorders>
              <w:top w:val="single" w:sz="4" w:space="0" w:color="FFFFFF" w:themeColor="background1"/>
              <w:left w:val="single" w:sz="4" w:space="0" w:color="7030A0"/>
              <w:bottom w:val="single" w:sz="4" w:space="0" w:color="7030A0"/>
              <w:right w:val="single" w:sz="4" w:space="0" w:color="7030A0"/>
            </w:tcBorders>
            <w:shd w:val="clear" w:color="auto" w:fill="auto"/>
            <w:noWrap/>
            <w:vAlign w:val="bottom"/>
          </w:tcPr>
          <w:p w:rsidR="000C56BF" w:rsidRPr="00E15AE7" w:rsidRDefault="000C56BF" w:rsidP="000C56BF">
            <w:pPr>
              <w:spacing w:before="20" w:after="20" w:line="240" w:lineRule="auto"/>
              <w:jc w:val="center"/>
              <w:rPr>
                <w:rFonts w:eastAsia="Times New Roman" w:cs="Arial"/>
                <w:color w:val="000000"/>
                <w:sz w:val="18"/>
                <w:szCs w:val="18"/>
                <w:lang w:eastAsia="en-AU"/>
              </w:rPr>
            </w:pPr>
            <w:r w:rsidRPr="00E15AE7">
              <w:rPr>
                <w:rFonts w:cs="Arial"/>
                <w:color w:val="000000"/>
                <w:sz w:val="18"/>
                <w:szCs w:val="18"/>
              </w:rPr>
              <w:t xml:space="preserve">1.00 </w:t>
            </w:r>
          </w:p>
        </w:tc>
        <w:tc>
          <w:tcPr>
            <w:tcW w:w="1057" w:type="dxa"/>
            <w:tcBorders>
              <w:top w:val="single" w:sz="4" w:space="0" w:color="FFFFFF" w:themeColor="background1"/>
              <w:left w:val="single" w:sz="4" w:space="0" w:color="7030A0"/>
              <w:bottom w:val="single" w:sz="4" w:space="0" w:color="7030A0"/>
              <w:right w:val="single" w:sz="4" w:space="0" w:color="7030A0"/>
            </w:tcBorders>
            <w:shd w:val="clear" w:color="auto" w:fill="auto"/>
            <w:noWrap/>
            <w:vAlign w:val="bottom"/>
          </w:tcPr>
          <w:p w:rsidR="000C56BF" w:rsidRPr="00E15AE7" w:rsidRDefault="000C56BF" w:rsidP="000C56BF">
            <w:pPr>
              <w:spacing w:before="20" w:after="20" w:line="240" w:lineRule="auto"/>
              <w:jc w:val="center"/>
              <w:rPr>
                <w:rFonts w:eastAsia="Times New Roman" w:cs="Arial"/>
                <w:color w:val="000000"/>
                <w:sz w:val="18"/>
                <w:szCs w:val="18"/>
                <w:lang w:eastAsia="en-AU"/>
              </w:rPr>
            </w:pPr>
            <w:r w:rsidRPr="00E15AE7">
              <w:rPr>
                <w:rFonts w:cs="Arial"/>
                <w:color w:val="000000"/>
                <w:sz w:val="18"/>
                <w:szCs w:val="18"/>
              </w:rPr>
              <w:t xml:space="preserve">1.00 </w:t>
            </w:r>
          </w:p>
        </w:tc>
        <w:tc>
          <w:tcPr>
            <w:tcW w:w="1056" w:type="dxa"/>
            <w:tcBorders>
              <w:top w:val="single" w:sz="4" w:space="0" w:color="FFFFFF" w:themeColor="background1"/>
              <w:left w:val="single" w:sz="4" w:space="0" w:color="7030A0"/>
              <w:bottom w:val="single" w:sz="4" w:space="0" w:color="7030A0"/>
              <w:right w:val="single" w:sz="4" w:space="0" w:color="7030A0"/>
            </w:tcBorders>
            <w:vAlign w:val="bottom"/>
          </w:tcPr>
          <w:p w:rsidR="000C56BF" w:rsidRPr="00E15AE7" w:rsidRDefault="000C56BF" w:rsidP="000C56BF">
            <w:pPr>
              <w:spacing w:before="20" w:after="20" w:line="240" w:lineRule="auto"/>
              <w:jc w:val="center"/>
              <w:rPr>
                <w:rFonts w:cs="Arial"/>
                <w:color w:val="000000"/>
                <w:sz w:val="18"/>
                <w:szCs w:val="18"/>
              </w:rPr>
            </w:pPr>
            <w:r w:rsidRPr="00E15AE7">
              <w:rPr>
                <w:rFonts w:cs="Arial"/>
                <w:color w:val="000000"/>
                <w:sz w:val="18"/>
                <w:szCs w:val="18"/>
              </w:rPr>
              <w:t xml:space="preserve">1.00 </w:t>
            </w:r>
          </w:p>
        </w:tc>
        <w:tc>
          <w:tcPr>
            <w:tcW w:w="1083" w:type="dxa"/>
            <w:tcBorders>
              <w:top w:val="single" w:sz="4" w:space="0" w:color="FFFFFF" w:themeColor="background1"/>
              <w:left w:val="single" w:sz="4" w:space="0" w:color="7030A0"/>
              <w:bottom w:val="single" w:sz="4" w:space="0" w:color="7030A0"/>
              <w:right w:val="single" w:sz="4" w:space="0" w:color="7030A0"/>
            </w:tcBorders>
            <w:vAlign w:val="bottom"/>
          </w:tcPr>
          <w:p w:rsidR="000C56BF" w:rsidRPr="00E15AE7" w:rsidRDefault="000C56BF" w:rsidP="000C56BF">
            <w:pPr>
              <w:spacing w:before="20" w:after="20" w:line="240" w:lineRule="auto"/>
              <w:jc w:val="center"/>
              <w:rPr>
                <w:rFonts w:cs="Arial"/>
                <w:color w:val="000000"/>
                <w:sz w:val="18"/>
                <w:szCs w:val="18"/>
              </w:rPr>
            </w:pPr>
            <w:r w:rsidRPr="00E15AE7">
              <w:rPr>
                <w:rFonts w:cs="Arial"/>
                <w:color w:val="000000"/>
                <w:sz w:val="18"/>
                <w:szCs w:val="18"/>
              </w:rPr>
              <w:t xml:space="preserve">1.00 </w:t>
            </w:r>
          </w:p>
        </w:tc>
        <w:tc>
          <w:tcPr>
            <w:tcW w:w="1031" w:type="dxa"/>
            <w:tcBorders>
              <w:top w:val="single" w:sz="4" w:space="0" w:color="FFFFFF" w:themeColor="background1"/>
              <w:left w:val="single" w:sz="4" w:space="0" w:color="7030A0"/>
              <w:bottom w:val="single" w:sz="4" w:space="0" w:color="7030A0"/>
              <w:right w:val="single" w:sz="4" w:space="0" w:color="7030A0"/>
            </w:tcBorders>
            <w:shd w:val="clear" w:color="auto" w:fill="auto"/>
            <w:noWrap/>
            <w:vAlign w:val="bottom"/>
          </w:tcPr>
          <w:p w:rsidR="000C56BF" w:rsidRPr="00E15AE7" w:rsidRDefault="000C56BF" w:rsidP="000C56BF">
            <w:pPr>
              <w:spacing w:before="20" w:after="20" w:line="240" w:lineRule="auto"/>
              <w:jc w:val="center"/>
              <w:rPr>
                <w:rFonts w:eastAsia="Times New Roman" w:cs="Arial"/>
                <w:color w:val="000000"/>
                <w:sz w:val="18"/>
                <w:szCs w:val="18"/>
                <w:lang w:eastAsia="en-AU"/>
              </w:rPr>
            </w:pPr>
            <w:r w:rsidRPr="00E15AE7">
              <w:rPr>
                <w:rFonts w:cs="Arial"/>
                <w:color w:val="000000"/>
                <w:sz w:val="18"/>
                <w:szCs w:val="18"/>
              </w:rPr>
              <w:t xml:space="preserve">1.00 </w:t>
            </w:r>
          </w:p>
        </w:tc>
        <w:tc>
          <w:tcPr>
            <w:tcW w:w="1056" w:type="dxa"/>
            <w:tcBorders>
              <w:top w:val="single" w:sz="4" w:space="0" w:color="FFFFFF" w:themeColor="background1"/>
              <w:left w:val="single" w:sz="4" w:space="0" w:color="7030A0"/>
              <w:bottom w:val="single" w:sz="4" w:space="0" w:color="7030A0"/>
              <w:right w:val="single" w:sz="4" w:space="0" w:color="7030A0"/>
            </w:tcBorders>
            <w:shd w:val="clear" w:color="auto" w:fill="auto"/>
            <w:noWrap/>
            <w:vAlign w:val="bottom"/>
          </w:tcPr>
          <w:p w:rsidR="000C56BF" w:rsidRPr="00E15AE7" w:rsidRDefault="000C56BF" w:rsidP="000C56BF">
            <w:pPr>
              <w:spacing w:before="20" w:after="20" w:line="240" w:lineRule="auto"/>
              <w:jc w:val="center"/>
              <w:rPr>
                <w:rFonts w:eastAsia="Times New Roman" w:cs="Arial"/>
                <w:color w:val="000000"/>
                <w:sz w:val="18"/>
                <w:szCs w:val="18"/>
                <w:lang w:eastAsia="en-AU"/>
              </w:rPr>
            </w:pPr>
            <w:r w:rsidRPr="00E15AE7">
              <w:rPr>
                <w:rFonts w:cs="Arial"/>
                <w:color w:val="000000"/>
                <w:sz w:val="18"/>
                <w:szCs w:val="18"/>
              </w:rPr>
              <w:t xml:space="preserve">1.00 </w:t>
            </w:r>
          </w:p>
        </w:tc>
        <w:tc>
          <w:tcPr>
            <w:tcW w:w="1032" w:type="dxa"/>
            <w:tcBorders>
              <w:top w:val="single" w:sz="4" w:space="0" w:color="FFFFFF" w:themeColor="background1"/>
              <w:left w:val="single" w:sz="4" w:space="0" w:color="7030A0"/>
              <w:bottom w:val="single" w:sz="4" w:space="0" w:color="7030A0"/>
              <w:right w:val="single" w:sz="4" w:space="0" w:color="7030A0"/>
            </w:tcBorders>
            <w:shd w:val="clear" w:color="auto" w:fill="auto"/>
            <w:noWrap/>
            <w:vAlign w:val="bottom"/>
          </w:tcPr>
          <w:p w:rsidR="000C56BF" w:rsidRPr="00E15AE7" w:rsidRDefault="000C56BF" w:rsidP="000C56BF">
            <w:pPr>
              <w:spacing w:before="20" w:after="20" w:line="240" w:lineRule="auto"/>
              <w:jc w:val="center"/>
              <w:rPr>
                <w:rFonts w:eastAsia="Times New Roman" w:cs="Arial"/>
                <w:color w:val="000000"/>
                <w:sz w:val="18"/>
                <w:szCs w:val="18"/>
                <w:lang w:eastAsia="en-AU"/>
              </w:rPr>
            </w:pPr>
            <w:r w:rsidRPr="00E15AE7">
              <w:rPr>
                <w:rFonts w:cs="Arial"/>
                <w:color w:val="000000"/>
                <w:sz w:val="18"/>
                <w:szCs w:val="18"/>
              </w:rPr>
              <w:t xml:space="preserve">1.00 </w:t>
            </w:r>
          </w:p>
        </w:tc>
        <w:tc>
          <w:tcPr>
            <w:tcW w:w="1082" w:type="dxa"/>
            <w:tcBorders>
              <w:top w:val="single" w:sz="4" w:space="0" w:color="FFFFFF" w:themeColor="background1"/>
              <w:left w:val="single" w:sz="4" w:space="0" w:color="7030A0"/>
              <w:bottom w:val="single" w:sz="4" w:space="0" w:color="7030A0"/>
              <w:right w:val="single" w:sz="4" w:space="0" w:color="7030A0"/>
            </w:tcBorders>
            <w:vAlign w:val="bottom"/>
          </w:tcPr>
          <w:p w:rsidR="000C56BF" w:rsidRPr="00E15AE7" w:rsidRDefault="000C56BF" w:rsidP="000C56BF">
            <w:pPr>
              <w:spacing w:before="20" w:after="20" w:line="240" w:lineRule="auto"/>
              <w:jc w:val="center"/>
              <w:rPr>
                <w:rFonts w:cs="Arial"/>
                <w:color w:val="000000"/>
                <w:sz w:val="18"/>
                <w:szCs w:val="18"/>
              </w:rPr>
            </w:pPr>
            <w:r w:rsidRPr="00E15AE7">
              <w:rPr>
                <w:rFonts w:cs="Arial"/>
                <w:color w:val="000000"/>
                <w:sz w:val="18"/>
                <w:szCs w:val="18"/>
              </w:rPr>
              <w:t xml:space="preserve">1.00 </w:t>
            </w:r>
          </w:p>
        </w:tc>
        <w:tc>
          <w:tcPr>
            <w:tcW w:w="1044" w:type="dxa"/>
            <w:tcBorders>
              <w:top w:val="single" w:sz="4" w:space="0" w:color="FFFFFF" w:themeColor="background1"/>
              <w:left w:val="single" w:sz="4" w:space="0" w:color="7030A0"/>
              <w:bottom w:val="single" w:sz="4" w:space="0" w:color="7030A0"/>
              <w:right w:val="single" w:sz="4" w:space="0" w:color="7030A0"/>
            </w:tcBorders>
            <w:shd w:val="clear" w:color="auto" w:fill="auto"/>
            <w:noWrap/>
            <w:vAlign w:val="bottom"/>
          </w:tcPr>
          <w:p w:rsidR="000C56BF" w:rsidRPr="00E15AE7" w:rsidRDefault="000C56BF" w:rsidP="000C56BF">
            <w:pPr>
              <w:spacing w:before="20" w:after="20" w:line="240" w:lineRule="auto"/>
              <w:jc w:val="center"/>
              <w:rPr>
                <w:rFonts w:eastAsia="Times New Roman" w:cs="Arial"/>
                <w:color w:val="000000"/>
                <w:sz w:val="18"/>
                <w:szCs w:val="18"/>
                <w:lang w:eastAsia="en-AU"/>
              </w:rPr>
            </w:pPr>
            <w:r w:rsidRPr="00E15AE7">
              <w:rPr>
                <w:rFonts w:cs="Arial"/>
                <w:color w:val="000000"/>
                <w:sz w:val="18"/>
                <w:szCs w:val="18"/>
              </w:rPr>
              <w:t xml:space="preserve">1.00 </w:t>
            </w:r>
          </w:p>
        </w:tc>
        <w:tc>
          <w:tcPr>
            <w:tcW w:w="1069" w:type="dxa"/>
            <w:tcBorders>
              <w:top w:val="single" w:sz="4" w:space="0" w:color="FFFFFF" w:themeColor="background1"/>
              <w:left w:val="single" w:sz="4" w:space="0" w:color="7030A0"/>
              <w:bottom w:val="single" w:sz="4" w:space="0" w:color="7030A0"/>
              <w:right w:val="single" w:sz="4" w:space="0" w:color="7030A0"/>
            </w:tcBorders>
            <w:shd w:val="clear" w:color="auto" w:fill="auto"/>
            <w:noWrap/>
            <w:vAlign w:val="bottom"/>
          </w:tcPr>
          <w:p w:rsidR="000C56BF" w:rsidRPr="00E15AE7" w:rsidRDefault="000C56BF" w:rsidP="000C56BF">
            <w:pPr>
              <w:spacing w:before="20" w:after="20" w:line="240" w:lineRule="auto"/>
              <w:jc w:val="center"/>
              <w:rPr>
                <w:rFonts w:eastAsia="Times New Roman" w:cs="Arial"/>
                <w:color w:val="000000"/>
                <w:sz w:val="18"/>
                <w:szCs w:val="18"/>
                <w:lang w:eastAsia="en-AU"/>
              </w:rPr>
            </w:pPr>
            <w:r w:rsidRPr="00E15AE7">
              <w:rPr>
                <w:rFonts w:cs="Arial"/>
                <w:color w:val="000000"/>
                <w:sz w:val="18"/>
                <w:szCs w:val="18"/>
              </w:rPr>
              <w:t xml:space="preserve">1.00 </w:t>
            </w:r>
          </w:p>
        </w:tc>
        <w:tc>
          <w:tcPr>
            <w:tcW w:w="1057" w:type="dxa"/>
            <w:tcBorders>
              <w:top w:val="single" w:sz="4" w:space="0" w:color="FFFFFF" w:themeColor="background1"/>
              <w:left w:val="single" w:sz="4" w:space="0" w:color="7030A0"/>
              <w:bottom w:val="single" w:sz="4" w:space="0" w:color="7030A0"/>
              <w:right w:val="single" w:sz="4" w:space="0" w:color="7030A0"/>
            </w:tcBorders>
            <w:shd w:val="clear" w:color="auto" w:fill="auto"/>
            <w:noWrap/>
            <w:vAlign w:val="bottom"/>
          </w:tcPr>
          <w:p w:rsidR="000C56BF" w:rsidRPr="00E15AE7" w:rsidRDefault="000C56BF" w:rsidP="000C56BF">
            <w:pPr>
              <w:spacing w:before="20" w:after="20" w:line="240" w:lineRule="auto"/>
              <w:jc w:val="center"/>
              <w:rPr>
                <w:rFonts w:eastAsia="Times New Roman" w:cs="Arial"/>
                <w:color w:val="000000"/>
                <w:sz w:val="18"/>
                <w:szCs w:val="18"/>
                <w:lang w:eastAsia="en-AU"/>
              </w:rPr>
            </w:pPr>
            <w:r w:rsidRPr="00E15AE7">
              <w:rPr>
                <w:rFonts w:cs="Arial"/>
                <w:color w:val="000000"/>
                <w:sz w:val="18"/>
                <w:szCs w:val="18"/>
              </w:rPr>
              <w:t xml:space="preserve">1.00 </w:t>
            </w:r>
          </w:p>
        </w:tc>
      </w:tr>
      <w:tr w:rsidR="000C56BF" w:rsidRPr="00E15AE7" w:rsidTr="00EC298B">
        <w:trPr>
          <w:trHeight w:val="240"/>
        </w:trPr>
        <w:tc>
          <w:tcPr>
            <w:tcW w:w="3681" w:type="dxa"/>
            <w:tcBorders>
              <w:top w:val="single" w:sz="4" w:space="0" w:color="7030A0"/>
              <w:left w:val="single" w:sz="4" w:space="0" w:color="7030A0"/>
              <w:bottom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ACT - Australian Capital Territory</w:t>
            </w:r>
          </w:p>
        </w:tc>
        <w:tc>
          <w:tcPr>
            <w:tcW w:w="1056" w:type="dxa"/>
            <w:tcBorders>
              <w:top w:val="single" w:sz="4" w:space="0" w:color="7030A0"/>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1.02</w:t>
            </w:r>
          </w:p>
        </w:tc>
        <w:tc>
          <w:tcPr>
            <w:tcW w:w="1057" w:type="dxa"/>
            <w:tcBorders>
              <w:top w:val="single" w:sz="4" w:space="0" w:color="7030A0"/>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1.02</w:t>
            </w:r>
          </w:p>
        </w:tc>
        <w:tc>
          <w:tcPr>
            <w:tcW w:w="1056" w:type="dxa"/>
            <w:tcBorders>
              <w:top w:val="single" w:sz="4" w:space="0" w:color="7030A0"/>
              <w:left w:val="single" w:sz="4" w:space="0" w:color="7030A0"/>
              <w:bottom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1.02</w:t>
            </w:r>
          </w:p>
        </w:tc>
        <w:tc>
          <w:tcPr>
            <w:tcW w:w="1083" w:type="dxa"/>
            <w:tcBorders>
              <w:top w:val="single" w:sz="4" w:space="0" w:color="7030A0"/>
              <w:left w:val="single" w:sz="4" w:space="0" w:color="7030A0"/>
              <w:bottom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1.02</w:t>
            </w:r>
          </w:p>
        </w:tc>
        <w:tc>
          <w:tcPr>
            <w:tcW w:w="1031" w:type="dxa"/>
            <w:tcBorders>
              <w:top w:val="single" w:sz="4" w:space="0" w:color="7030A0"/>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0.99</w:t>
            </w:r>
          </w:p>
        </w:tc>
        <w:tc>
          <w:tcPr>
            <w:tcW w:w="1056" w:type="dxa"/>
            <w:tcBorders>
              <w:top w:val="single" w:sz="4" w:space="0" w:color="7030A0"/>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0.96</w:t>
            </w:r>
          </w:p>
        </w:tc>
        <w:tc>
          <w:tcPr>
            <w:tcW w:w="1032" w:type="dxa"/>
            <w:tcBorders>
              <w:top w:val="single" w:sz="4" w:space="0" w:color="7030A0"/>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0.95</w:t>
            </w:r>
          </w:p>
        </w:tc>
        <w:tc>
          <w:tcPr>
            <w:tcW w:w="1082" w:type="dxa"/>
            <w:tcBorders>
              <w:top w:val="single" w:sz="4" w:space="0" w:color="7030A0"/>
              <w:left w:val="single" w:sz="4" w:space="0" w:color="7030A0"/>
              <w:bottom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0.97</w:t>
            </w:r>
          </w:p>
        </w:tc>
        <w:tc>
          <w:tcPr>
            <w:tcW w:w="1044" w:type="dxa"/>
            <w:tcBorders>
              <w:top w:val="single" w:sz="4" w:space="0" w:color="7030A0"/>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0.97</w:t>
            </w:r>
          </w:p>
        </w:tc>
        <w:tc>
          <w:tcPr>
            <w:tcW w:w="1069" w:type="dxa"/>
            <w:tcBorders>
              <w:top w:val="single" w:sz="4" w:space="0" w:color="7030A0"/>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0.96</w:t>
            </w:r>
          </w:p>
        </w:tc>
        <w:tc>
          <w:tcPr>
            <w:tcW w:w="1057" w:type="dxa"/>
            <w:tcBorders>
              <w:top w:val="single" w:sz="4" w:space="0" w:color="7030A0"/>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0.95</w:t>
            </w:r>
          </w:p>
        </w:tc>
      </w:tr>
      <w:tr w:rsidR="000C56BF" w:rsidRPr="00E15AE7" w:rsidTr="00EC298B">
        <w:trPr>
          <w:trHeight w:val="240"/>
        </w:trPr>
        <w:tc>
          <w:tcPr>
            <w:tcW w:w="3681" w:type="dxa"/>
            <w:tcBorders>
              <w:top w:val="single" w:sz="4" w:space="0" w:color="7030A0"/>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Capital Region</w:t>
            </w:r>
          </w:p>
        </w:tc>
        <w:tc>
          <w:tcPr>
            <w:tcW w:w="1056"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1.07</w:t>
            </w:r>
          </w:p>
        </w:tc>
        <w:tc>
          <w:tcPr>
            <w:tcW w:w="1057"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1.08</w:t>
            </w:r>
          </w:p>
        </w:tc>
        <w:tc>
          <w:tcPr>
            <w:tcW w:w="1056" w:type="dxa"/>
            <w:tcBorders>
              <w:top w:val="single" w:sz="4" w:space="0" w:color="7030A0"/>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1.08</w:t>
            </w:r>
          </w:p>
        </w:tc>
        <w:tc>
          <w:tcPr>
            <w:tcW w:w="1083" w:type="dxa"/>
            <w:tcBorders>
              <w:top w:val="single" w:sz="4" w:space="0" w:color="7030A0"/>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1.09</w:t>
            </w:r>
          </w:p>
        </w:tc>
        <w:tc>
          <w:tcPr>
            <w:tcW w:w="1031"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1.01</w:t>
            </w:r>
          </w:p>
        </w:tc>
        <w:tc>
          <w:tcPr>
            <w:tcW w:w="1056"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0.96</w:t>
            </w:r>
          </w:p>
        </w:tc>
        <w:tc>
          <w:tcPr>
            <w:tcW w:w="1032"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0.95</w:t>
            </w:r>
          </w:p>
        </w:tc>
        <w:tc>
          <w:tcPr>
            <w:tcW w:w="1082" w:type="dxa"/>
            <w:tcBorders>
              <w:top w:val="single" w:sz="4" w:space="0" w:color="7030A0"/>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0.98</w:t>
            </w:r>
          </w:p>
        </w:tc>
        <w:tc>
          <w:tcPr>
            <w:tcW w:w="1044"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0.97</w:t>
            </w:r>
          </w:p>
        </w:tc>
        <w:tc>
          <w:tcPr>
            <w:tcW w:w="1069"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0.96</w:t>
            </w:r>
          </w:p>
        </w:tc>
        <w:tc>
          <w:tcPr>
            <w:tcW w:w="1057"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0.95</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Central Coast</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1.04</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1.04</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1.04</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1.05</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1.01</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0.99</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0.99</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1.00</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0.99</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0.99</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0.99</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Central West</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1.07</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1.08</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1.08</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1.09</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0.99</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0.94</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0.92</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0.96</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0.94</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0.94</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0.92</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Coffs Harbour - Grafton</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1.07</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1.08</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1.08</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1.09</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1.01</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0.97</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0.95</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0.98</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0.97</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0.96</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0.95</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Far West and Orana</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1.16</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1.16</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1.16</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1.19</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1.07</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1.01</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0.99</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1.01</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1.01</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1.01</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0.99</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Hunter Valley exc Newcastle</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1.07</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1.08</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1.08</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1.09</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1.01</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0.97</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0.95</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0.98</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0.97</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0.97</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0.95</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Illawarra</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1.08</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1.09</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1.09</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1.10</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1.06</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1.04</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1.04</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1.04</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1.04</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1.04</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1.04</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Mid North Coast</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1.07</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1.08</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1.08</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1.09</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1.02</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0.97</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0.96</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0.98</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0.98</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0.97</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0.96</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Murray</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1.07</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1.08</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1.08</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1.09</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0.99</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0.94</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0.91</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0.96</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0.94</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0.93</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0.91</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New England and North West</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1.07</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1.08</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1.08</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1.09</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0.99</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0.94</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0.91</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0.96</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0.94</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0.93</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0.91</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Newcastle and Lake Macquarie</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1.08</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1.09</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1.09</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1.10</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1.06</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1.05</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1.05</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1.04</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1.04</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1.05</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1.05</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Richmond - Tweed</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1.08</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1.08</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1.08</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1.10</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1.03</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1.00</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0.99</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1.00</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1.00</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1.00</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0.99</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Riverina</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1.07</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1.08</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1.08</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1.09</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0.99</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0.94</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0.91</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0.96</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0.94</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0.93</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0.92</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Southern Highlands and Shoalhaven</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1.07</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1.08</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1.08</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1.09</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1.02</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0.97</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0.96</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0.98</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0.98</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0.97</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0.96</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Sydney - Baulkham Hills and Hawkesbury</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1.05</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1.05</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1.05</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1.06</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1.08</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1.11</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1.13</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1.08</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1.10</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1.12</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1.13</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Sydney - Blacktown</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1.00</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1.00</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1.00</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1.00</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1.02</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1.03</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1.03</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1.02</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1.03</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1.03</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1.03</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Sydney - City and Inner South</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1.14</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1.12</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1.12</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1.10</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1.76</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2.25</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2.53</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1.93</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2.15</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2.31</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2.53</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Sydney - Eastern Suburbs</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1.12</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1.10</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1.10</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1.09</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1.63</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2.04</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2.27</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1.78</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1.96</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2.09</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2.27</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Sydney - Inner South West</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1.03</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1.02</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1.02</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1.02</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1.15</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1.24</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1.29</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1.18</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1.22</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1.25</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1.29</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Sydney - Inner West</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1.07</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1.06</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1.06</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1.05</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1.36</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1.59</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1.71</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1.44</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1.54</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1.61</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1.72</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Sydney - North Sydney and Hornsby</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1.08</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1.08</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1.08</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1.08</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1.25</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1.39</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1.47</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1.29</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1.36</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1.41</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1.47</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Sydney - Northern Beaches</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1.03</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1.03</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1.03</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1.02</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1.18</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1.30</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1.36</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1.22</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1.27</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1.31</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1.36</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Sydney - Outer South West</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1.04</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1.04</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1.04</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1.05</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1.01</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1.00</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0.99</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1.00</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1.00</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1.00</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0.99</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Sydney - Outer West and Blue Mountains</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1.04</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1.04</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1.04</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1.05</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1.01</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0.99</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0.99</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1.00</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0.99</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0.99</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0.99</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Sydney - Parramatta</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1.02</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1.01</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1.01</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1.01</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1.08</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1.13</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1.16</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1.10</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1.12</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1.14</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1.16</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Sydney - Ryde</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1.03</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1.03</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1.03</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1.02</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1.17</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1.29</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1.35</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1.21</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1.26</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1.30</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1.35</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Sydney - South West</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1.00</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1.00</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1.00</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1.00</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1.03</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1.04</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1.05</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1.03</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1.04</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1.04</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1.05</w:t>
            </w:r>
          </w:p>
        </w:tc>
      </w:tr>
      <w:tr w:rsidR="000C56BF" w:rsidRPr="00E15AE7" w:rsidTr="00EC298B">
        <w:trPr>
          <w:trHeight w:val="240"/>
        </w:trPr>
        <w:tc>
          <w:tcPr>
            <w:tcW w:w="3681" w:type="dxa"/>
            <w:tcBorders>
              <w:top w:val="nil"/>
              <w:left w:val="single" w:sz="4" w:space="0" w:color="7030A0"/>
              <w:bottom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Sydney - Sutherland</w:t>
            </w:r>
          </w:p>
        </w:tc>
        <w:tc>
          <w:tcPr>
            <w:tcW w:w="1056"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1.02</w:t>
            </w:r>
          </w:p>
        </w:tc>
        <w:tc>
          <w:tcPr>
            <w:tcW w:w="1057"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1.02</w:t>
            </w:r>
          </w:p>
        </w:tc>
        <w:tc>
          <w:tcPr>
            <w:tcW w:w="1056" w:type="dxa"/>
            <w:tcBorders>
              <w:top w:val="nil"/>
              <w:left w:val="single" w:sz="4" w:space="0" w:color="7030A0"/>
              <w:bottom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1.02</w:t>
            </w:r>
          </w:p>
        </w:tc>
        <w:tc>
          <w:tcPr>
            <w:tcW w:w="1083" w:type="dxa"/>
            <w:tcBorders>
              <w:top w:val="nil"/>
              <w:left w:val="single" w:sz="4" w:space="0" w:color="7030A0"/>
              <w:bottom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1.02</w:t>
            </w:r>
          </w:p>
        </w:tc>
        <w:tc>
          <w:tcPr>
            <w:tcW w:w="1031"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1.13</w:t>
            </w:r>
          </w:p>
        </w:tc>
        <w:tc>
          <w:tcPr>
            <w:tcW w:w="1056"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1.22</w:t>
            </w:r>
          </w:p>
        </w:tc>
        <w:tc>
          <w:tcPr>
            <w:tcW w:w="1032"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1.26</w:t>
            </w:r>
          </w:p>
        </w:tc>
        <w:tc>
          <w:tcPr>
            <w:tcW w:w="1082" w:type="dxa"/>
            <w:tcBorders>
              <w:top w:val="nil"/>
              <w:left w:val="single" w:sz="4" w:space="0" w:color="7030A0"/>
              <w:bottom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1.16</w:t>
            </w:r>
          </w:p>
        </w:tc>
        <w:tc>
          <w:tcPr>
            <w:tcW w:w="1044"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1.20</w:t>
            </w:r>
          </w:p>
        </w:tc>
        <w:tc>
          <w:tcPr>
            <w:tcW w:w="1069"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1.23</w:t>
            </w:r>
          </w:p>
        </w:tc>
        <w:tc>
          <w:tcPr>
            <w:tcW w:w="1057"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1.26</w:t>
            </w:r>
          </w:p>
        </w:tc>
      </w:tr>
      <w:tr w:rsidR="000C56BF" w:rsidRPr="00E15AE7" w:rsidTr="00EC298B">
        <w:trPr>
          <w:trHeight w:val="240"/>
        </w:trPr>
        <w:tc>
          <w:tcPr>
            <w:tcW w:w="3681" w:type="dxa"/>
            <w:tcBorders>
              <w:top w:val="single" w:sz="4" w:space="0" w:color="7030A0"/>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NT - Darwin</w:t>
            </w:r>
          </w:p>
        </w:tc>
        <w:tc>
          <w:tcPr>
            <w:tcW w:w="1056"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1.35</w:t>
            </w:r>
          </w:p>
        </w:tc>
        <w:tc>
          <w:tcPr>
            <w:tcW w:w="1057"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1.36</w:t>
            </w:r>
          </w:p>
        </w:tc>
        <w:tc>
          <w:tcPr>
            <w:tcW w:w="1056" w:type="dxa"/>
            <w:tcBorders>
              <w:top w:val="single" w:sz="4" w:space="0" w:color="7030A0"/>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1.36</w:t>
            </w:r>
          </w:p>
        </w:tc>
        <w:tc>
          <w:tcPr>
            <w:tcW w:w="1083" w:type="dxa"/>
            <w:tcBorders>
              <w:top w:val="single" w:sz="4" w:space="0" w:color="7030A0"/>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1.41</w:t>
            </w:r>
          </w:p>
        </w:tc>
        <w:tc>
          <w:tcPr>
            <w:tcW w:w="1031"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1.29</w:t>
            </w:r>
          </w:p>
        </w:tc>
        <w:tc>
          <w:tcPr>
            <w:tcW w:w="1056"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1.26</w:t>
            </w:r>
          </w:p>
        </w:tc>
        <w:tc>
          <w:tcPr>
            <w:tcW w:w="1032"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1.28</w:t>
            </w:r>
          </w:p>
        </w:tc>
        <w:tc>
          <w:tcPr>
            <w:tcW w:w="1082" w:type="dxa"/>
            <w:tcBorders>
              <w:top w:val="single" w:sz="4" w:space="0" w:color="7030A0"/>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1.21</w:t>
            </w:r>
          </w:p>
        </w:tc>
        <w:tc>
          <w:tcPr>
            <w:tcW w:w="1044"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1.24</w:t>
            </w:r>
          </w:p>
        </w:tc>
        <w:tc>
          <w:tcPr>
            <w:tcW w:w="1069"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1.27</w:t>
            </w:r>
          </w:p>
        </w:tc>
        <w:tc>
          <w:tcPr>
            <w:tcW w:w="1057"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1.28</w:t>
            </w:r>
          </w:p>
        </w:tc>
      </w:tr>
      <w:tr w:rsidR="000C56BF" w:rsidRPr="00E15AE7" w:rsidTr="00EC298B">
        <w:trPr>
          <w:trHeight w:val="240"/>
        </w:trPr>
        <w:tc>
          <w:tcPr>
            <w:tcW w:w="3681" w:type="dxa"/>
            <w:tcBorders>
              <w:top w:val="nil"/>
              <w:left w:val="single" w:sz="4" w:space="0" w:color="7030A0"/>
              <w:bottom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NT - Northern Territory - Outback</w:t>
            </w:r>
          </w:p>
        </w:tc>
        <w:tc>
          <w:tcPr>
            <w:tcW w:w="1056"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1.39</w:t>
            </w:r>
          </w:p>
        </w:tc>
        <w:tc>
          <w:tcPr>
            <w:tcW w:w="1057"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1.40</w:t>
            </w:r>
          </w:p>
        </w:tc>
        <w:tc>
          <w:tcPr>
            <w:tcW w:w="1056" w:type="dxa"/>
            <w:tcBorders>
              <w:top w:val="nil"/>
              <w:left w:val="single" w:sz="4" w:space="0" w:color="7030A0"/>
              <w:bottom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1.40</w:t>
            </w:r>
          </w:p>
        </w:tc>
        <w:tc>
          <w:tcPr>
            <w:tcW w:w="1083" w:type="dxa"/>
            <w:tcBorders>
              <w:top w:val="nil"/>
              <w:left w:val="single" w:sz="4" w:space="0" w:color="7030A0"/>
              <w:bottom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1.47</w:t>
            </w:r>
          </w:p>
        </w:tc>
        <w:tc>
          <w:tcPr>
            <w:tcW w:w="1031"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1.29</w:t>
            </w:r>
          </w:p>
        </w:tc>
        <w:tc>
          <w:tcPr>
            <w:tcW w:w="1056"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1.24</w:t>
            </w:r>
          </w:p>
        </w:tc>
        <w:tc>
          <w:tcPr>
            <w:tcW w:w="1032"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1.24</w:t>
            </w:r>
          </w:p>
        </w:tc>
        <w:tc>
          <w:tcPr>
            <w:tcW w:w="1082" w:type="dxa"/>
            <w:tcBorders>
              <w:top w:val="nil"/>
              <w:left w:val="single" w:sz="4" w:space="0" w:color="7030A0"/>
              <w:bottom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1.19</w:t>
            </w:r>
          </w:p>
        </w:tc>
        <w:tc>
          <w:tcPr>
            <w:tcW w:w="1044"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1.22</w:t>
            </w:r>
          </w:p>
        </w:tc>
        <w:tc>
          <w:tcPr>
            <w:tcW w:w="1069"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1.24</w:t>
            </w:r>
          </w:p>
        </w:tc>
        <w:tc>
          <w:tcPr>
            <w:tcW w:w="1057"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1.24</w:t>
            </w:r>
          </w:p>
        </w:tc>
      </w:tr>
      <w:tr w:rsidR="000C56BF" w:rsidRPr="00E15AE7" w:rsidTr="00EC298B">
        <w:trPr>
          <w:trHeight w:val="240"/>
        </w:trPr>
        <w:tc>
          <w:tcPr>
            <w:tcW w:w="3681" w:type="dxa"/>
            <w:tcBorders>
              <w:top w:val="single" w:sz="4" w:space="0" w:color="7030A0"/>
              <w:left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cs="Arial"/>
                <w:color w:val="000000"/>
                <w:sz w:val="18"/>
                <w:szCs w:val="18"/>
              </w:rPr>
            </w:pPr>
            <w:r w:rsidRPr="00E15AE7">
              <w:rPr>
                <w:rFonts w:cs="Arial"/>
                <w:color w:val="000000"/>
                <w:sz w:val="18"/>
                <w:szCs w:val="18"/>
              </w:rPr>
              <w:t>QLD - Brisbane - East</w:t>
            </w:r>
          </w:p>
        </w:tc>
        <w:tc>
          <w:tcPr>
            <w:tcW w:w="1056" w:type="dxa"/>
            <w:tcBorders>
              <w:top w:val="single" w:sz="4" w:space="0" w:color="7030A0"/>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0.95</w:t>
            </w:r>
          </w:p>
        </w:tc>
        <w:tc>
          <w:tcPr>
            <w:tcW w:w="1057" w:type="dxa"/>
            <w:tcBorders>
              <w:top w:val="single" w:sz="4" w:space="0" w:color="7030A0"/>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0.95</w:t>
            </w:r>
          </w:p>
        </w:tc>
        <w:tc>
          <w:tcPr>
            <w:tcW w:w="1056" w:type="dxa"/>
            <w:tcBorders>
              <w:top w:val="single" w:sz="4" w:space="0" w:color="7030A0"/>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0.95</w:t>
            </w:r>
          </w:p>
        </w:tc>
        <w:tc>
          <w:tcPr>
            <w:tcW w:w="1083" w:type="dxa"/>
            <w:tcBorders>
              <w:top w:val="single" w:sz="4" w:space="0" w:color="7030A0"/>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0.94</w:t>
            </w:r>
          </w:p>
        </w:tc>
        <w:tc>
          <w:tcPr>
            <w:tcW w:w="1031" w:type="dxa"/>
            <w:tcBorders>
              <w:top w:val="single" w:sz="4" w:space="0" w:color="7030A0"/>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0.93</w:t>
            </w:r>
          </w:p>
        </w:tc>
        <w:tc>
          <w:tcPr>
            <w:tcW w:w="1056" w:type="dxa"/>
            <w:tcBorders>
              <w:top w:val="single" w:sz="4" w:space="0" w:color="7030A0"/>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0.92</w:t>
            </w:r>
          </w:p>
        </w:tc>
        <w:tc>
          <w:tcPr>
            <w:tcW w:w="1032" w:type="dxa"/>
            <w:tcBorders>
              <w:top w:val="single" w:sz="4" w:space="0" w:color="7030A0"/>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0.91</w:t>
            </w:r>
          </w:p>
        </w:tc>
        <w:tc>
          <w:tcPr>
            <w:tcW w:w="1082" w:type="dxa"/>
            <w:tcBorders>
              <w:top w:val="single" w:sz="4" w:space="0" w:color="7030A0"/>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0.94</w:t>
            </w:r>
          </w:p>
        </w:tc>
        <w:tc>
          <w:tcPr>
            <w:tcW w:w="1044" w:type="dxa"/>
            <w:tcBorders>
              <w:top w:val="single" w:sz="4" w:space="0" w:color="7030A0"/>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0.93</w:t>
            </w:r>
          </w:p>
        </w:tc>
        <w:tc>
          <w:tcPr>
            <w:tcW w:w="1069" w:type="dxa"/>
            <w:tcBorders>
              <w:top w:val="single" w:sz="4" w:space="0" w:color="7030A0"/>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0.92</w:t>
            </w:r>
          </w:p>
        </w:tc>
        <w:tc>
          <w:tcPr>
            <w:tcW w:w="1057" w:type="dxa"/>
            <w:tcBorders>
              <w:top w:val="single" w:sz="4" w:space="0" w:color="7030A0"/>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0.91</w:t>
            </w:r>
          </w:p>
        </w:tc>
      </w:tr>
      <w:tr w:rsidR="000C56BF" w:rsidRPr="00E15AE7" w:rsidTr="00EC298B">
        <w:trPr>
          <w:trHeight w:val="240"/>
        </w:trPr>
        <w:tc>
          <w:tcPr>
            <w:tcW w:w="3681" w:type="dxa"/>
            <w:tcBorders>
              <w:left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cs="Arial"/>
                <w:color w:val="000000"/>
                <w:sz w:val="18"/>
                <w:szCs w:val="18"/>
              </w:rPr>
            </w:pPr>
            <w:r w:rsidRPr="00E15AE7">
              <w:rPr>
                <w:rFonts w:cs="Arial"/>
                <w:color w:val="000000"/>
                <w:sz w:val="18"/>
                <w:szCs w:val="18"/>
              </w:rPr>
              <w:t>QLD - Brisbane - North</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0.95</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0.95</w:t>
            </w:r>
          </w:p>
        </w:tc>
        <w:tc>
          <w:tcPr>
            <w:tcW w:w="1056"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0.95</w:t>
            </w:r>
          </w:p>
        </w:tc>
        <w:tc>
          <w:tcPr>
            <w:tcW w:w="1083"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0.94</w:t>
            </w:r>
          </w:p>
        </w:tc>
        <w:tc>
          <w:tcPr>
            <w:tcW w:w="1031"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0.95</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0.95</w:t>
            </w:r>
          </w:p>
        </w:tc>
        <w:tc>
          <w:tcPr>
            <w:tcW w:w="1032"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0.94</w:t>
            </w:r>
          </w:p>
        </w:tc>
        <w:tc>
          <w:tcPr>
            <w:tcW w:w="1082"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0.96</w:t>
            </w:r>
          </w:p>
        </w:tc>
        <w:tc>
          <w:tcPr>
            <w:tcW w:w="1044"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0.95</w:t>
            </w:r>
          </w:p>
        </w:tc>
        <w:tc>
          <w:tcPr>
            <w:tcW w:w="1069"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0.95</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0.94</w:t>
            </w:r>
          </w:p>
        </w:tc>
      </w:tr>
      <w:tr w:rsidR="000C56BF" w:rsidRPr="00E15AE7" w:rsidTr="00EC298B">
        <w:trPr>
          <w:trHeight w:val="240"/>
        </w:trPr>
        <w:tc>
          <w:tcPr>
            <w:tcW w:w="3681" w:type="dxa"/>
            <w:tcBorders>
              <w:left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cs="Arial"/>
                <w:color w:val="000000"/>
                <w:sz w:val="18"/>
                <w:szCs w:val="18"/>
              </w:rPr>
            </w:pPr>
            <w:r w:rsidRPr="00E15AE7">
              <w:rPr>
                <w:rFonts w:cs="Arial"/>
                <w:color w:val="000000"/>
                <w:sz w:val="18"/>
                <w:szCs w:val="18"/>
              </w:rPr>
              <w:t>QLD - Brisbane - South</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0.95</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0.95</w:t>
            </w:r>
          </w:p>
        </w:tc>
        <w:tc>
          <w:tcPr>
            <w:tcW w:w="1056"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0.95</w:t>
            </w:r>
          </w:p>
        </w:tc>
        <w:tc>
          <w:tcPr>
            <w:tcW w:w="1083"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0.94</w:t>
            </w:r>
          </w:p>
        </w:tc>
        <w:tc>
          <w:tcPr>
            <w:tcW w:w="1031"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0.97</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0.98</w:t>
            </w:r>
          </w:p>
        </w:tc>
        <w:tc>
          <w:tcPr>
            <w:tcW w:w="1032"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0.98</w:t>
            </w:r>
          </w:p>
        </w:tc>
        <w:tc>
          <w:tcPr>
            <w:tcW w:w="1082"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0.98</w:t>
            </w:r>
          </w:p>
        </w:tc>
        <w:tc>
          <w:tcPr>
            <w:tcW w:w="1044"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0.98</w:t>
            </w:r>
          </w:p>
        </w:tc>
        <w:tc>
          <w:tcPr>
            <w:tcW w:w="1069"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0.98</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0.98</w:t>
            </w:r>
          </w:p>
        </w:tc>
      </w:tr>
      <w:tr w:rsidR="000C56BF" w:rsidRPr="00E15AE7" w:rsidTr="00EC298B">
        <w:trPr>
          <w:trHeight w:val="240"/>
        </w:trPr>
        <w:tc>
          <w:tcPr>
            <w:tcW w:w="3681" w:type="dxa"/>
            <w:tcBorders>
              <w:left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cs="Arial"/>
                <w:color w:val="000000"/>
                <w:sz w:val="18"/>
                <w:szCs w:val="18"/>
              </w:rPr>
            </w:pPr>
            <w:r w:rsidRPr="00E15AE7">
              <w:rPr>
                <w:rFonts w:cs="Arial"/>
                <w:color w:val="000000"/>
                <w:sz w:val="18"/>
                <w:szCs w:val="18"/>
              </w:rPr>
              <w:t>QLD - Brisbane - West</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0.95</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0.95</w:t>
            </w:r>
          </w:p>
        </w:tc>
        <w:tc>
          <w:tcPr>
            <w:tcW w:w="1056"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0.95</w:t>
            </w:r>
          </w:p>
        </w:tc>
        <w:tc>
          <w:tcPr>
            <w:tcW w:w="1083"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0.94</w:t>
            </w:r>
          </w:p>
        </w:tc>
        <w:tc>
          <w:tcPr>
            <w:tcW w:w="1031"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0.98</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0.99</w:t>
            </w:r>
          </w:p>
        </w:tc>
        <w:tc>
          <w:tcPr>
            <w:tcW w:w="1032"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0.99</w:t>
            </w:r>
          </w:p>
        </w:tc>
        <w:tc>
          <w:tcPr>
            <w:tcW w:w="1082"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0.99</w:t>
            </w:r>
          </w:p>
        </w:tc>
        <w:tc>
          <w:tcPr>
            <w:tcW w:w="1044"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0.99</w:t>
            </w:r>
          </w:p>
        </w:tc>
        <w:tc>
          <w:tcPr>
            <w:tcW w:w="1069"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0.99</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0.99</w:t>
            </w:r>
          </w:p>
        </w:tc>
      </w:tr>
      <w:tr w:rsidR="000C56BF" w:rsidRPr="00E15AE7" w:rsidTr="00EC298B">
        <w:trPr>
          <w:trHeight w:val="240"/>
        </w:trPr>
        <w:tc>
          <w:tcPr>
            <w:tcW w:w="3681" w:type="dxa"/>
            <w:tcBorders>
              <w:left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cs="Arial"/>
                <w:color w:val="000000"/>
                <w:sz w:val="18"/>
                <w:szCs w:val="18"/>
              </w:rPr>
            </w:pPr>
            <w:r w:rsidRPr="00E15AE7">
              <w:rPr>
                <w:rFonts w:cs="Arial"/>
                <w:color w:val="000000"/>
                <w:sz w:val="18"/>
                <w:szCs w:val="18"/>
              </w:rPr>
              <w:t>QLD - Brisbane Inner City</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0.96</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0.96</w:t>
            </w:r>
          </w:p>
        </w:tc>
        <w:tc>
          <w:tcPr>
            <w:tcW w:w="1056"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0.96</w:t>
            </w:r>
          </w:p>
        </w:tc>
        <w:tc>
          <w:tcPr>
            <w:tcW w:w="1083"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0.95</w:t>
            </w:r>
          </w:p>
        </w:tc>
        <w:tc>
          <w:tcPr>
            <w:tcW w:w="1031"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1.02</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1.06</w:t>
            </w:r>
          </w:p>
        </w:tc>
        <w:tc>
          <w:tcPr>
            <w:tcW w:w="1032"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1.08</w:t>
            </w:r>
          </w:p>
        </w:tc>
        <w:tc>
          <w:tcPr>
            <w:tcW w:w="1082"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1.04</w:t>
            </w:r>
          </w:p>
        </w:tc>
        <w:tc>
          <w:tcPr>
            <w:tcW w:w="1044"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1.06</w:t>
            </w:r>
          </w:p>
        </w:tc>
        <w:tc>
          <w:tcPr>
            <w:tcW w:w="1069"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1.07</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1.08</w:t>
            </w:r>
          </w:p>
        </w:tc>
      </w:tr>
      <w:tr w:rsidR="000C56BF" w:rsidRPr="00E15AE7" w:rsidTr="00EC298B">
        <w:trPr>
          <w:trHeight w:val="240"/>
        </w:trPr>
        <w:tc>
          <w:tcPr>
            <w:tcW w:w="3681" w:type="dxa"/>
            <w:tcBorders>
              <w:left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cs="Arial"/>
                <w:color w:val="000000"/>
                <w:sz w:val="18"/>
                <w:szCs w:val="18"/>
              </w:rPr>
            </w:pPr>
            <w:r w:rsidRPr="00E15AE7">
              <w:rPr>
                <w:rFonts w:cs="Arial"/>
                <w:color w:val="000000"/>
                <w:sz w:val="18"/>
                <w:szCs w:val="18"/>
              </w:rPr>
              <w:t>QLD - Cairns</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1.15</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1.16</w:t>
            </w:r>
          </w:p>
        </w:tc>
        <w:tc>
          <w:tcPr>
            <w:tcW w:w="1056"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1.16</w:t>
            </w:r>
          </w:p>
        </w:tc>
        <w:tc>
          <w:tcPr>
            <w:tcW w:w="1083"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1.19</w:t>
            </w:r>
          </w:p>
        </w:tc>
        <w:tc>
          <w:tcPr>
            <w:tcW w:w="1031"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1.08</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1.03</w:t>
            </w:r>
          </w:p>
        </w:tc>
        <w:tc>
          <w:tcPr>
            <w:tcW w:w="1032"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1.02</w:t>
            </w:r>
          </w:p>
        </w:tc>
        <w:tc>
          <w:tcPr>
            <w:tcW w:w="1082"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1.03</w:t>
            </w:r>
          </w:p>
        </w:tc>
        <w:tc>
          <w:tcPr>
            <w:tcW w:w="1044"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1.03</w:t>
            </w:r>
          </w:p>
        </w:tc>
        <w:tc>
          <w:tcPr>
            <w:tcW w:w="1069"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1.03</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1.02</w:t>
            </w:r>
          </w:p>
        </w:tc>
      </w:tr>
      <w:tr w:rsidR="000C56BF" w:rsidRPr="00E15AE7" w:rsidTr="00EC298B">
        <w:trPr>
          <w:trHeight w:val="240"/>
        </w:trPr>
        <w:tc>
          <w:tcPr>
            <w:tcW w:w="3681" w:type="dxa"/>
            <w:tcBorders>
              <w:left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cs="Arial"/>
                <w:color w:val="000000"/>
                <w:sz w:val="18"/>
                <w:szCs w:val="18"/>
              </w:rPr>
            </w:pPr>
            <w:r w:rsidRPr="00E15AE7">
              <w:rPr>
                <w:rFonts w:cs="Arial"/>
                <w:color w:val="000000"/>
                <w:sz w:val="18"/>
                <w:szCs w:val="18"/>
              </w:rPr>
              <w:t>QLD - Darling Downs - Maranoa</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1.01</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1.02</w:t>
            </w:r>
          </w:p>
        </w:tc>
        <w:tc>
          <w:tcPr>
            <w:tcW w:w="1056"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1.02</w:t>
            </w:r>
          </w:p>
        </w:tc>
        <w:tc>
          <w:tcPr>
            <w:tcW w:w="1083"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1.02</w:t>
            </w:r>
          </w:p>
        </w:tc>
        <w:tc>
          <w:tcPr>
            <w:tcW w:w="1031"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0.94</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0.88</w:t>
            </w:r>
          </w:p>
        </w:tc>
        <w:tc>
          <w:tcPr>
            <w:tcW w:w="1032"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0.85</w:t>
            </w:r>
          </w:p>
        </w:tc>
        <w:tc>
          <w:tcPr>
            <w:tcW w:w="1082"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0.91</w:t>
            </w:r>
          </w:p>
        </w:tc>
        <w:tc>
          <w:tcPr>
            <w:tcW w:w="1044"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0.89</w:t>
            </w:r>
          </w:p>
        </w:tc>
        <w:tc>
          <w:tcPr>
            <w:tcW w:w="1069"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0.87</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0.85</w:t>
            </w:r>
          </w:p>
        </w:tc>
      </w:tr>
      <w:tr w:rsidR="000C56BF" w:rsidRPr="00E15AE7" w:rsidTr="00EC298B">
        <w:trPr>
          <w:trHeight w:val="240"/>
        </w:trPr>
        <w:tc>
          <w:tcPr>
            <w:tcW w:w="3681" w:type="dxa"/>
            <w:tcBorders>
              <w:left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cs="Arial"/>
                <w:color w:val="000000"/>
                <w:sz w:val="18"/>
                <w:szCs w:val="18"/>
              </w:rPr>
            </w:pPr>
            <w:r w:rsidRPr="00E15AE7">
              <w:rPr>
                <w:rFonts w:cs="Arial"/>
                <w:color w:val="000000"/>
                <w:sz w:val="18"/>
                <w:szCs w:val="18"/>
              </w:rPr>
              <w:t>QLD - Fitzroy</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1.15</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1.16</w:t>
            </w:r>
          </w:p>
        </w:tc>
        <w:tc>
          <w:tcPr>
            <w:tcW w:w="1056"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1.16</w:t>
            </w:r>
          </w:p>
        </w:tc>
        <w:tc>
          <w:tcPr>
            <w:tcW w:w="1083"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1.19</w:t>
            </w:r>
          </w:p>
        </w:tc>
        <w:tc>
          <w:tcPr>
            <w:tcW w:w="1031"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1.08</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1.03</w:t>
            </w:r>
          </w:p>
        </w:tc>
        <w:tc>
          <w:tcPr>
            <w:tcW w:w="1032"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1.01</w:t>
            </w:r>
          </w:p>
        </w:tc>
        <w:tc>
          <w:tcPr>
            <w:tcW w:w="1082"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1.03</w:t>
            </w:r>
          </w:p>
        </w:tc>
        <w:tc>
          <w:tcPr>
            <w:tcW w:w="1044"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1.03</w:t>
            </w:r>
          </w:p>
        </w:tc>
        <w:tc>
          <w:tcPr>
            <w:tcW w:w="1069"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1.03</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1.02</w:t>
            </w:r>
          </w:p>
        </w:tc>
      </w:tr>
      <w:tr w:rsidR="000C56BF" w:rsidRPr="00E15AE7" w:rsidTr="00EC298B">
        <w:trPr>
          <w:trHeight w:val="240"/>
        </w:trPr>
        <w:tc>
          <w:tcPr>
            <w:tcW w:w="3681" w:type="dxa"/>
            <w:tcBorders>
              <w:left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cs="Arial"/>
                <w:color w:val="000000"/>
                <w:sz w:val="18"/>
                <w:szCs w:val="18"/>
              </w:rPr>
            </w:pPr>
            <w:r w:rsidRPr="00E15AE7">
              <w:rPr>
                <w:rFonts w:cs="Arial"/>
                <w:color w:val="000000"/>
                <w:sz w:val="18"/>
                <w:szCs w:val="18"/>
              </w:rPr>
              <w:t>QLD - Gold Coast</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0.98</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0.98</w:t>
            </w:r>
          </w:p>
        </w:tc>
        <w:tc>
          <w:tcPr>
            <w:tcW w:w="1056"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0.98</w:t>
            </w:r>
          </w:p>
        </w:tc>
        <w:tc>
          <w:tcPr>
            <w:tcW w:w="1083"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0.98</w:t>
            </w:r>
          </w:p>
        </w:tc>
        <w:tc>
          <w:tcPr>
            <w:tcW w:w="1031"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0.95</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0.93</w:t>
            </w:r>
          </w:p>
        </w:tc>
        <w:tc>
          <w:tcPr>
            <w:tcW w:w="1032"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0.92</w:t>
            </w:r>
          </w:p>
        </w:tc>
        <w:tc>
          <w:tcPr>
            <w:tcW w:w="1082"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0.95</w:t>
            </w:r>
          </w:p>
        </w:tc>
        <w:tc>
          <w:tcPr>
            <w:tcW w:w="1044"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0.94</w:t>
            </w:r>
          </w:p>
        </w:tc>
        <w:tc>
          <w:tcPr>
            <w:tcW w:w="1069"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0.93</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0.92</w:t>
            </w:r>
          </w:p>
        </w:tc>
      </w:tr>
      <w:tr w:rsidR="000C56BF" w:rsidRPr="00E15AE7" w:rsidTr="00EC298B">
        <w:trPr>
          <w:trHeight w:val="240"/>
        </w:trPr>
        <w:tc>
          <w:tcPr>
            <w:tcW w:w="3681" w:type="dxa"/>
            <w:tcBorders>
              <w:left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cs="Arial"/>
                <w:color w:val="000000"/>
                <w:sz w:val="18"/>
                <w:szCs w:val="18"/>
              </w:rPr>
            </w:pPr>
            <w:r w:rsidRPr="00E15AE7">
              <w:rPr>
                <w:rFonts w:cs="Arial"/>
                <w:color w:val="000000"/>
                <w:sz w:val="18"/>
                <w:szCs w:val="18"/>
              </w:rPr>
              <w:t>QLD - Ipswich</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0.98</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0.98</w:t>
            </w:r>
          </w:p>
        </w:tc>
        <w:tc>
          <w:tcPr>
            <w:tcW w:w="1056"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0.98</w:t>
            </w:r>
          </w:p>
        </w:tc>
        <w:tc>
          <w:tcPr>
            <w:tcW w:w="1083"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0.98</w:t>
            </w:r>
          </w:p>
        </w:tc>
        <w:tc>
          <w:tcPr>
            <w:tcW w:w="1031"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0.91</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0.86</w:t>
            </w:r>
          </w:p>
        </w:tc>
        <w:tc>
          <w:tcPr>
            <w:tcW w:w="1032"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0.84</w:t>
            </w:r>
          </w:p>
        </w:tc>
        <w:tc>
          <w:tcPr>
            <w:tcW w:w="1082"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0.90</w:t>
            </w:r>
          </w:p>
        </w:tc>
        <w:tc>
          <w:tcPr>
            <w:tcW w:w="1044"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0.87</w:t>
            </w:r>
          </w:p>
        </w:tc>
        <w:tc>
          <w:tcPr>
            <w:tcW w:w="1069"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0.86</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0.83</w:t>
            </w:r>
          </w:p>
        </w:tc>
      </w:tr>
      <w:tr w:rsidR="000C56BF" w:rsidRPr="00E15AE7" w:rsidTr="00EC298B">
        <w:trPr>
          <w:trHeight w:val="240"/>
        </w:trPr>
        <w:tc>
          <w:tcPr>
            <w:tcW w:w="3681" w:type="dxa"/>
            <w:tcBorders>
              <w:left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cs="Arial"/>
                <w:color w:val="000000"/>
                <w:sz w:val="18"/>
                <w:szCs w:val="18"/>
              </w:rPr>
            </w:pPr>
            <w:r w:rsidRPr="00E15AE7">
              <w:rPr>
                <w:rFonts w:cs="Arial"/>
                <w:color w:val="000000"/>
                <w:sz w:val="18"/>
                <w:szCs w:val="18"/>
              </w:rPr>
              <w:t>QLD - Logan - Beaudesert</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0.98</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0.98</w:t>
            </w:r>
          </w:p>
        </w:tc>
        <w:tc>
          <w:tcPr>
            <w:tcW w:w="1056"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0.98</w:t>
            </w:r>
          </w:p>
        </w:tc>
        <w:tc>
          <w:tcPr>
            <w:tcW w:w="1083"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0.98</w:t>
            </w:r>
          </w:p>
        </w:tc>
        <w:tc>
          <w:tcPr>
            <w:tcW w:w="1031"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0.93</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0.89</w:t>
            </w:r>
          </w:p>
        </w:tc>
        <w:tc>
          <w:tcPr>
            <w:tcW w:w="1032"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0.87</w:t>
            </w:r>
          </w:p>
        </w:tc>
        <w:tc>
          <w:tcPr>
            <w:tcW w:w="1082"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0.92</w:t>
            </w:r>
          </w:p>
        </w:tc>
        <w:tc>
          <w:tcPr>
            <w:tcW w:w="1044"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0.90</w:t>
            </w:r>
          </w:p>
        </w:tc>
        <w:tc>
          <w:tcPr>
            <w:tcW w:w="1069"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0.89</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0.87</w:t>
            </w:r>
          </w:p>
        </w:tc>
      </w:tr>
      <w:tr w:rsidR="000C56BF" w:rsidRPr="00E15AE7" w:rsidTr="00EC298B">
        <w:trPr>
          <w:trHeight w:val="240"/>
        </w:trPr>
        <w:tc>
          <w:tcPr>
            <w:tcW w:w="3681" w:type="dxa"/>
            <w:tcBorders>
              <w:left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cs="Arial"/>
                <w:color w:val="000000"/>
                <w:sz w:val="18"/>
                <w:szCs w:val="18"/>
              </w:rPr>
            </w:pPr>
            <w:r w:rsidRPr="00E15AE7">
              <w:rPr>
                <w:rFonts w:cs="Arial"/>
                <w:color w:val="000000"/>
                <w:sz w:val="18"/>
                <w:szCs w:val="18"/>
              </w:rPr>
              <w:t>QLD - Mackay</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1.15</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1.16</w:t>
            </w:r>
          </w:p>
        </w:tc>
        <w:tc>
          <w:tcPr>
            <w:tcW w:w="1056"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1.16</w:t>
            </w:r>
          </w:p>
        </w:tc>
        <w:tc>
          <w:tcPr>
            <w:tcW w:w="1083"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1.19</w:t>
            </w:r>
          </w:p>
        </w:tc>
        <w:tc>
          <w:tcPr>
            <w:tcW w:w="1031"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1.08</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1.04</w:t>
            </w:r>
          </w:p>
        </w:tc>
        <w:tc>
          <w:tcPr>
            <w:tcW w:w="1032"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1.02</w:t>
            </w:r>
          </w:p>
        </w:tc>
        <w:tc>
          <w:tcPr>
            <w:tcW w:w="1082"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1.03</w:t>
            </w:r>
          </w:p>
        </w:tc>
        <w:tc>
          <w:tcPr>
            <w:tcW w:w="1044"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1.03</w:t>
            </w:r>
          </w:p>
        </w:tc>
        <w:tc>
          <w:tcPr>
            <w:tcW w:w="1069"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1.04</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1.03</w:t>
            </w:r>
          </w:p>
        </w:tc>
      </w:tr>
      <w:tr w:rsidR="000C56BF" w:rsidRPr="00E15AE7" w:rsidTr="00EC298B">
        <w:trPr>
          <w:trHeight w:val="240"/>
        </w:trPr>
        <w:tc>
          <w:tcPr>
            <w:tcW w:w="3681" w:type="dxa"/>
            <w:tcBorders>
              <w:left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cs="Arial"/>
                <w:color w:val="000000"/>
                <w:sz w:val="18"/>
                <w:szCs w:val="18"/>
              </w:rPr>
            </w:pPr>
            <w:r w:rsidRPr="00E15AE7">
              <w:rPr>
                <w:rFonts w:cs="Arial"/>
                <w:color w:val="000000"/>
                <w:sz w:val="18"/>
                <w:szCs w:val="18"/>
              </w:rPr>
              <w:t>QLD - Moreton Bay - North</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0.98</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0.98</w:t>
            </w:r>
          </w:p>
        </w:tc>
        <w:tc>
          <w:tcPr>
            <w:tcW w:w="1056"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0.98</w:t>
            </w:r>
          </w:p>
        </w:tc>
        <w:tc>
          <w:tcPr>
            <w:tcW w:w="1083"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0.98</w:t>
            </w:r>
          </w:p>
        </w:tc>
        <w:tc>
          <w:tcPr>
            <w:tcW w:w="1031"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0.94</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0.91</w:t>
            </w:r>
          </w:p>
        </w:tc>
        <w:tc>
          <w:tcPr>
            <w:tcW w:w="1032"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0.89</w:t>
            </w:r>
          </w:p>
        </w:tc>
        <w:tc>
          <w:tcPr>
            <w:tcW w:w="1082"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0.93</w:t>
            </w:r>
          </w:p>
        </w:tc>
        <w:tc>
          <w:tcPr>
            <w:tcW w:w="1044"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0.91</w:t>
            </w:r>
          </w:p>
        </w:tc>
        <w:tc>
          <w:tcPr>
            <w:tcW w:w="1069"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0.90</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0.89</w:t>
            </w:r>
          </w:p>
        </w:tc>
      </w:tr>
      <w:tr w:rsidR="000C56BF" w:rsidRPr="00E15AE7" w:rsidTr="00EC298B">
        <w:trPr>
          <w:trHeight w:val="240"/>
        </w:trPr>
        <w:tc>
          <w:tcPr>
            <w:tcW w:w="3681" w:type="dxa"/>
            <w:tcBorders>
              <w:left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cs="Arial"/>
                <w:color w:val="000000"/>
                <w:sz w:val="18"/>
                <w:szCs w:val="18"/>
              </w:rPr>
            </w:pPr>
            <w:r w:rsidRPr="00E15AE7">
              <w:rPr>
                <w:rFonts w:cs="Arial"/>
                <w:color w:val="000000"/>
                <w:sz w:val="18"/>
                <w:szCs w:val="18"/>
              </w:rPr>
              <w:t>QLD - Moreton Bay - South</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0.98</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0.98</w:t>
            </w:r>
          </w:p>
        </w:tc>
        <w:tc>
          <w:tcPr>
            <w:tcW w:w="1056"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0.98</w:t>
            </w:r>
          </w:p>
        </w:tc>
        <w:tc>
          <w:tcPr>
            <w:tcW w:w="1083"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0.98</w:t>
            </w:r>
          </w:p>
        </w:tc>
        <w:tc>
          <w:tcPr>
            <w:tcW w:w="1031"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0.94</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0.91</w:t>
            </w:r>
          </w:p>
        </w:tc>
        <w:tc>
          <w:tcPr>
            <w:tcW w:w="1032"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0.89</w:t>
            </w:r>
          </w:p>
        </w:tc>
        <w:tc>
          <w:tcPr>
            <w:tcW w:w="1082"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0.93</w:t>
            </w:r>
          </w:p>
        </w:tc>
        <w:tc>
          <w:tcPr>
            <w:tcW w:w="1044"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0.91</w:t>
            </w:r>
          </w:p>
        </w:tc>
        <w:tc>
          <w:tcPr>
            <w:tcW w:w="1069"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0.90</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0.89</w:t>
            </w:r>
          </w:p>
        </w:tc>
      </w:tr>
      <w:tr w:rsidR="000C56BF" w:rsidRPr="00E15AE7" w:rsidTr="00EC298B">
        <w:trPr>
          <w:trHeight w:val="240"/>
        </w:trPr>
        <w:tc>
          <w:tcPr>
            <w:tcW w:w="3681" w:type="dxa"/>
            <w:tcBorders>
              <w:left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cs="Arial"/>
                <w:color w:val="000000"/>
                <w:sz w:val="18"/>
                <w:szCs w:val="18"/>
              </w:rPr>
            </w:pPr>
            <w:r w:rsidRPr="00E15AE7">
              <w:rPr>
                <w:rFonts w:cs="Arial"/>
                <w:color w:val="000000"/>
                <w:sz w:val="18"/>
                <w:szCs w:val="18"/>
              </w:rPr>
              <w:t>QLD - Queensland - Outback</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1.10</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1.10</w:t>
            </w:r>
          </w:p>
        </w:tc>
        <w:tc>
          <w:tcPr>
            <w:tcW w:w="1056"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1.10</w:t>
            </w:r>
          </w:p>
        </w:tc>
        <w:tc>
          <w:tcPr>
            <w:tcW w:w="1083"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1.12</w:t>
            </w:r>
          </w:p>
        </w:tc>
        <w:tc>
          <w:tcPr>
            <w:tcW w:w="1031"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1.02</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0.96</w:t>
            </w:r>
          </w:p>
        </w:tc>
        <w:tc>
          <w:tcPr>
            <w:tcW w:w="1032"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0.94</w:t>
            </w:r>
          </w:p>
        </w:tc>
        <w:tc>
          <w:tcPr>
            <w:tcW w:w="1082"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0.97</w:t>
            </w:r>
          </w:p>
        </w:tc>
        <w:tc>
          <w:tcPr>
            <w:tcW w:w="1044"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0.96</w:t>
            </w:r>
          </w:p>
        </w:tc>
        <w:tc>
          <w:tcPr>
            <w:tcW w:w="1069"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0.96</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0.94</w:t>
            </w:r>
          </w:p>
        </w:tc>
      </w:tr>
      <w:tr w:rsidR="000C56BF" w:rsidRPr="00E15AE7" w:rsidTr="00EC298B">
        <w:trPr>
          <w:trHeight w:val="240"/>
        </w:trPr>
        <w:tc>
          <w:tcPr>
            <w:tcW w:w="3681" w:type="dxa"/>
            <w:tcBorders>
              <w:left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cs="Arial"/>
                <w:color w:val="000000"/>
                <w:sz w:val="18"/>
                <w:szCs w:val="18"/>
              </w:rPr>
            </w:pPr>
            <w:r w:rsidRPr="00E15AE7">
              <w:rPr>
                <w:rFonts w:cs="Arial"/>
                <w:color w:val="000000"/>
                <w:sz w:val="18"/>
                <w:szCs w:val="18"/>
              </w:rPr>
              <w:t>QLD - Sunshine Coast</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0.98</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0.98</w:t>
            </w:r>
          </w:p>
        </w:tc>
        <w:tc>
          <w:tcPr>
            <w:tcW w:w="1056"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0.98</w:t>
            </w:r>
          </w:p>
        </w:tc>
        <w:tc>
          <w:tcPr>
            <w:tcW w:w="1083"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0.98</w:t>
            </w:r>
          </w:p>
        </w:tc>
        <w:tc>
          <w:tcPr>
            <w:tcW w:w="1031"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0.94</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0.91</w:t>
            </w:r>
          </w:p>
        </w:tc>
        <w:tc>
          <w:tcPr>
            <w:tcW w:w="1032"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0.89</w:t>
            </w:r>
          </w:p>
        </w:tc>
        <w:tc>
          <w:tcPr>
            <w:tcW w:w="1082"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0.93</w:t>
            </w:r>
          </w:p>
        </w:tc>
        <w:tc>
          <w:tcPr>
            <w:tcW w:w="1044"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0.91</w:t>
            </w:r>
          </w:p>
        </w:tc>
        <w:tc>
          <w:tcPr>
            <w:tcW w:w="1069"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0.90</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0.89</w:t>
            </w:r>
          </w:p>
        </w:tc>
      </w:tr>
      <w:tr w:rsidR="000C56BF" w:rsidRPr="00E15AE7" w:rsidTr="00EC298B">
        <w:trPr>
          <w:trHeight w:val="240"/>
        </w:trPr>
        <w:tc>
          <w:tcPr>
            <w:tcW w:w="3681" w:type="dxa"/>
            <w:tcBorders>
              <w:left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cs="Arial"/>
                <w:color w:val="000000"/>
                <w:sz w:val="18"/>
                <w:szCs w:val="18"/>
              </w:rPr>
            </w:pPr>
            <w:r w:rsidRPr="00E15AE7">
              <w:rPr>
                <w:rFonts w:cs="Arial"/>
                <w:color w:val="000000"/>
                <w:sz w:val="18"/>
                <w:szCs w:val="18"/>
              </w:rPr>
              <w:t>QLD - Toowoomba</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1.02</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1.02</w:t>
            </w:r>
          </w:p>
        </w:tc>
        <w:tc>
          <w:tcPr>
            <w:tcW w:w="1056"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1.02</w:t>
            </w:r>
          </w:p>
        </w:tc>
        <w:tc>
          <w:tcPr>
            <w:tcW w:w="1083"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1.03</w:t>
            </w:r>
          </w:p>
        </w:tc>
        <w:tc>
          <w:tcPr>
            <w:tcW w:w="1031"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0.96</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0.91</w:t>
            </w:r>
          </w:p>
        </w:tc>
        <w:tc>
          <w:tcPr>
            <w:tcW w:w="1032"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0.89</w:t>
            </w:r>
          </w:p>
        </w:tc>
        <w:tc>
          <w:tcPr>
            <w:tcW w:w="1082"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0.93</w:t>
            </w:r>
          </w:p>
        </w:tc>
        <w:tc>
          <w:tcPr>
            <w:tcW w:w="1044"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0.92</w:t>
            </w:r>
          </w:p>
        </w:tc>
        <w:tc>
          <w:tcPr>
            <w:tcW w:w="1069"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0.91</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0.89</w:t>
            </w:r>
          </w:p>
        </w:tc>
      </w:tr>
      <w:tr w:rsidR="000C56BF" w:rsidRPr="00E15AE7" w:rsidTr="00EC298B">
        <w:trPr>
          <w:trHeight w:val="240"/>
        </w:trPr>
        <w:tc>
          <w:tcPr>
            <w:tcW w:w="3681" w:type="dxa"/>
            <w:tcBorders>
              <w:left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cs="Arial"/>
                <w:color w:val="000000"/>
                <w:sz w:val="18"/>
                <w:szCs w:val="18"/>
              </w:rPr>
            </w:pPr>
            <w:r w:rsidRPr="00E15AE7">
              <w:rPr>
                <w:rFonts w:cs="Arial"/>
                <w:color w:val="000000"/>
                <w:sz w:val="18"/>
                <w:szCs w:val="18"/>
              </w:rPr>
              <w:t>QLD - Townsville</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1.15</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1.16</w:t>
            </w:r>
          </w:p>
        </w:tc>
        <w:tc>
          <w:tcPr>
            <w:tcW w:w="1056"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1.16</w:t>
            </w:r>
          </w:p>
        </w:tc>
        <w:tc>
          <w:tcPr>
            <w:tcW w:w="1083"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1.19</w:t>
            </w:r>
          </w:p>
        </w:tc>
        <w:tc>
          <w:tcPr>
            <w:tcW w:w="1031"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1.08</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1.04</w:t>
            </w:r>
          </w:p>
        </w:tc>
        <w:tc>
          <w:tcPr>
            <w:tcW w:w="1032"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1.02</w:t>
            </w:r>
          </w:p>
        </w:tc>
        <w:tc>
          <w:tcPr>
            <w:tcW w:w="1082"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1.03</w:t>
            </w:r>
          </w:p>
        </w:tc>
        <w:tc>
          <w:tcPr>
            <w:tcW w:w="1044"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1.04</w:t>
            </w:r>
          </w:p>
        </w:tc>
        <w:tc>
          <w:tcPr>
            <w:tcW w:w="1069"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1.04</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1.03</w:t>
            </w:r>
          </w:p>
        </w:tc>
      </w:tr>
      <w:tr w:rsidR="000C56BF" w:rsidRPr="00E15AE7" w:rsidTr="00EC298B">
        <w:trPr>
          <w:trHeight w:val="240"/>
        </w:trPr>
        <w:tc>
          <w:tcPr>
            <w:tcW w:w="3681" w:type="dxa"/>
            <w:tcBorders>
              <w:left w:val="single" w:sz="4" w:space="0" w:color="7030A0"/>
              <w:bottom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cs="Arial"/>
                <w:color w:val="000000"/>
                <w:sz w:val="18"/>
                <w:szCs w:val="18"/>
              </w:rPr>
            </w:pPr>
            <w:r w:rsidRPr="00E15AE7">
              <w:rPr>
                <w:rFonts w:cs="Arial"/>
                <w:color w:val="000000"/>
                <w:sz w:val="18"/>
                <w:szCs w:val="18"/>
              </w:rPr>
              <w:t>QLD - Wide Bay</w:t>
            </w:r>
          </w:p>
        </w:tc>
        <w:tc>
          <w:tcPr>
            <w:tcW w:w="1056" w:type="dxa"/>
            <w:tcBorders>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1.01</w:t>
            </w:r>
          </w:p>
        </w:tc>
        <w:tc>
          <w:tcPr>
            <w:tcW w:w="1057" w:type="dxa"/>
            <w:tcBorders>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1.02</w:t>
            </w:r>
          </w:p>
        </w:tc>
        <w:tc>
          <w:tcPr>
            <w:tcW w:w="1056" w:type="dxa"/>
            <w:tcBorders>
              <w:left w:val="single" w:sz="4" w:space="0" w:color="7030A0"/>
              <w:bottom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1.02</w:t>
            </w:r>
          </w:p>
        </w:tc>
        <w:tc>
          <w:tcPr>
            <w:tcW w:w="1083" w:type="dxa"/>
            <w:tcBorders>
              <w:left w:val="single" w:sz="4" w:space="0" w:color="7030A0"/>
              <w:bottom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1.02</w:t>
            </w:r>
          </w:p>
        </w:tc>
        <w:tc>
          <w:tcPr>
            <w:tcW w:w="1031" w:type="dxa"/>
            <w:tcBorders>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0.94</w:t>
            </w:r>
          </w:p>
        </w:tc>
        <w:tc>
          <w:tcPr>
            <w:tcW w:w="1056" w:type="dxa"/>
            <w:tcBorders>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0.89</w:t>
            </w:r>
          </w:p>
        </w:tc>
        <w:tc>
          <w:tcPr>
            <w:tcW w:w="1032" w:type="dxa"/>
            <w:tcBorders>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0.86</w:t>
            </w:r>
          </w:p>
        </w:tc>
        <w:tc>
          <w:tcPr>
            <w:tcW w:w="1082" w:type="dxa"/>
            <w:tcBorders>
              <w:left w:val="single" w:sz="4" w:space="0" w:color="7030A0"/>
              <w:bottom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0.92</w:t>
            </w:r>
          </w:p>
        </w:tc>
        <w:tc>
          <w:tcPr>
            <w:tcW w:w="1044" w:type="dxa"/>
            <w:tcBorders>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0.89</w:t>
            </w:r>
          </w:p>
        </w:tc>
        <w:tc>
          <w:tcPr>
            <w:tcW w:w="1069" w:type="dxa"/>
            <w:tcBorders>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0.88</w:t>
            </w:r>
          </w:p>
        </w:tc>
        <w:tc>
          <w:tcPr>
            <w:tcW w:w="1057" w:type="dxa"/>
            <w:tcBorders>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0.86</w:t>
            </w:r>
          </w:p>
        </w:tc>
      </w:tr>
      <w:tr w:rsidR="000C56BF" w:rsidRPr="00E15AE7" w:rsidTr="00EC298B">
        <w:trPr>
          <w:trHeight w:val="240"/>
        </w:trPr>
        <w:tc>
          <w:tcPr>
            <w:tcW w:w="3681" w:type="dxa"/>
            <w:tcBorders>
              <w:top w:val="single" w:sz="4" w:space="0" w:color="7030A0"/>
              <w:left w:val="single" w:sz="4" w:space="0" w:color="7030A0"/>
              <w:bottom w:val="nil"/>
              <w:right w:val="single" w:sz="4" w:space="0" w:color="7030A0"/>
            </w:tcBorders>
            <w:shd w:val="clear" w:color="000000" w:fill="FFFFFF"/>
            <w:noWrap/>
            <w:vAlign w:val="center"/>
          </w:tcPr>
          <w:p w:rsidR="000C56BF" w:rsidRPr="00E15AE7" w:rsidRDefault="000C56BF" w:rsidP="000C56BF">
            <w:pPr>
              <w:keepNext/>
              <w:spacing w:before="20" w:after="20" w:line="240" w:lineRule="auto"/>
              <w:ind w:left="109"/>
              <w:contextualSpacing/>
              <w:rPr>
                <w:rFonts w:cs="Arial"/>
                <w:color w:val="000000"/>
                <w:sz w:val="18"/>
                <w:szCs w:val="18"/>
              </w:rPr>
            </w:pPr>
            <w:r w:rsidRPr="00E15AE7">
              <w:rPr>
                <w:rFonts w:cs="Arial"/>
                <w:color w:val="000000"/>
                <w:sz w:val="18"/>
                <w:szCs w:val="18"/>
              </w:rPr>
              <w:t>SA - Adelaide - Central and Hills</w:t>
            </w:r>
          </w:p>
        </w:tc>
        <w:tc>
          <w:tcPr>
            <w:tcW w:w="1056"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1.00</w:t>
            </w:r>
          </w:p>
        </w:tc>
        <w:tc>
          <w:tcPr>
            <w:tcW w:w="1057"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0.99</w:t>
            </w:r>
          </w:p>
        </w:tc>
        <w:tc>
          <w:tcPr>
            <w:tcW w:w="1056" w:type="dxa"/>
            <w:tcBorders>
              <w:top w:val="single" w:sz="4" w:space="0" w:color="7030A0"/>
              <w:left w:val="single" w:sz="4" w:space="0" w:color="7030A0"/>
              <w:bottom w:val="nil"/>
              <w:right w:val="single" w:sz="4" w:space="0" w:color="7030A0"/>
            </w:tcBorders>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0.99</w:t>
            </w:r>
          </w:p>
        </w:tc>
        <w:tc>
          <w:tcPr>
            <w:tcW w:w="1083" w:type="dxa"/>
            <w:tcBorders>
              <w:top w:val="single" w:sz="4" w:space="0" w:color="7030A0"/>
              <w:left w:val="single" w:sz="4" w:space="0" w:color="7030A0"/>
              <w:bottom w:val="nil"/>
              <w:right w:val="single" w:sz="4" w:space="0" w:color="7030A0"/>
            </w:tcBorders>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0.99</w:t>
            </w:r>
          </w:p>
        </w:tc>
        <w:tc>
          <w:tcPr>
            <w:tcW w:w="1031"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1.01</w:t>
            </w:r>
          </w:p>
        </w:tc>
        <w:tc>
          <w:tcPr>
            <w:tcW w:w="1056"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1.02</w:t>
            </w:r>
          </w:p>
        </w:tc>
        <w:tc>
          <w:tcPr>
            <w:tcW w:w="1032"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1.03</w:t>
            </w:r>
          </w:p>
        </w:tc>
        <w:tc>
          <w:tcPr>
            <w:tcW w:w="1082" w:type="dxa"/>
            <w:tcBorders>
              <w:top w:val="single" w:sz="4" w:space="0" w:color="7030A0"/>
              <w:left w:val="single" w:sz="4" w:space="0" w:color="7030A0"/>
              <w:bottom w:val="nil"/>
              <w:right w:val="single" w:sz="4" w:space="0" w:color="7030A0"/>
            </w:tcBorders>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1.02</w:t>
            </w:r>
          </w:p>
        </w:tc>
        <w:tc>
          <w:tcPr>
            <w:tcW w:w="1044"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1.02</w:t>
            </w:r>
          </w:p>
        </w:tc>
        <w:tc>
          <w:tcPr>
            <w:tcW w:w="1069"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1.03</w:t>
            </w:r>
          </w:p>
        </w:tc>
        <w:tc>
          <w:tcPr>
            <w:tcW w:w="1057"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1.03</w:t>
            </w:r>
          </w:p>
        </w:tc>
      </w:tr>
      <w:tr w:rsidR="000C56BF" w:rsidRPr="00E15AE7" w:rsidTr="00EC298B">
        <w:trPr>
          <w:trHeight w:val="240"/>
        </w:trPr>
        <w:tc>
          <w:tcPr>
            <w:tcW w:w="3681" w:type="dxa"/>
            <w:tcBorders>
              <w:left w:val="single" w:sz="4" w:space="0" w:color="7030A0"/>
              <w:bottom w:val="nil"/>
              <w:right w:val="single" w:sz="4" w:space="0" w:color="7030A0"/>
            </w:tcBorders>
            <w:shd w:val="clear" w:color="000000" w:fill="FFFFFF"/>
            <w:noWrap/>
            <w:vAlign w:val="center"/>
          </w:tcPr>
          <w:p w:rsidR="000C56BF" w:rsidRPr="00E15AE7" w:rsidRDefault="000C56BF" w:rsidP="000C56BF">
            <w:pPr>
              <w:keepNext/>
              <w:spacing w:before="20" w:after="20" w:line="240" w:lineRule="auto"/>
              <w:ind w:left="109"/>
              <w:contextualSpacing/>
              <w:rPr>
                <w:rFonts w:cs="Arial"/>
                <w:color w:val="000000"/>
                <w:sz w:val="18"/>
                <w:szCs w:val="18"/>
              </w:rPr>
            </w:pPr>
            <w:r w:rsidRPr="00E15AE7">
              <w:rPr>
                <w:rFonts w:cs="Arial"/>
                <w:color w:val="000000"/>
                <w:sz w:val="18"/>
                <w:szCs w:val="18"/>
              </w:rPr>
              <w:t>SA - Adelaide - North</w:t>
            </w:r>
          </w:p>
        </w:tc>
        <w:tc>
          <w:tcPr>
            <w:tcW w:w="1056"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1.03</w:t>
            </w:r>
          </w:p>
        </w:tc>
        <w:tc>
          <w:tcPr>
            <w:tcW w:w="1057"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1.03</w:t>
            </w:r>
          </w:p>
        </w:tc>
        <w:tc>
          <w:tcPr>
            <w:tcW w:w="1056" w:type="dxa"/>
            <w:tcBorders>
              <w:left w:val="single" w:sz="4" w:space="0" w:color="7030A0"/>
              <w:bottom w:val="nil"/>
              <w:right w:val="single" w:sz="4" w:space="0" w:color="7030A0"/>
            </w:tcBorders>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1.03</w:t>
            </w:r>
          </w:p>
        </w:tc>
        <w:tc>
          <w:tcPr>
            <w:tcW w:w="1083" w:type="dxa"/>
            <w:tcBorders>
              <w:left w:val="single" w:sz="4" w:space="0" w:color="7030A0"/>
              <w:bottom w:val="nil"/>
              <w:right w:val="single" w:sz="4" w:space="0" w:color="7030A0"/>
            </w:tcBorders>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1.03</w:t>
            </w:r>
          </w:p>
        </w:tc>
        <w:tc>
          <w:tcPr>
            <w:tcW w:w="1031"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0.99</w:t>
            </w:r>
          </w:p>
        </w:tc>
        <w:tc>
          <w:tcPr>
            <w:tcW w:w="1056"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0.96</w:t>
            </w:r>
          </w:p>
        </w:tc>
        <w:tc>
          <w:tcPr>
            <w:tcW w:w="1032"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0.94</w:t>
            </w:r>
          </w:p>
        </w:tc>
        <w:tc>
          <w:tcPr>
            <w:tcW w:w="1082" w:type="dxa"/>
            <w:tcBorders>
              <w:left w:val="single" w:sz="4" w:space="0" w:color="7030A0"/>
              <w:bottom w:val="nil"/>
              <w:right w:val="single" w:sz="4" w:space="0" w:color="7030A0"/>
            </w:tcBorders>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0.97</w:t>
            </w:r>
          </w:p>
        </w:tc>
        <w:tc>
          <w:tcPr>
            <w:tcW w:w="1044"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0.96</w:t>
            </w:r>
          </w:p>
        </w:tc>
        <w:tc>
          <w:tcPr>
            <w:tcW w:w="1069"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0.96</w:t>
            </w:r>
          </w:p>
        </w:tc>
        <w:tc>
          <w:tcPr>
            <w:tcW w:w="1057"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0.94</w:t>
            </w:r>
          </w:p>
        </w:tc>
      </w:tr>
      <w:tr w:rsidR="000C56BF" w:rsidRPr="00E15AE7" w:rsidTr="00EC298B">
        <w:trPr>
          <w:trHeight w:val="240"/>
        </w:trPr>
        <w:tc>
          <w:tcPr>
            <w:tcW w:w="3681" w:type="dxa"/>
            <w:tcBorders>
              <w:left w:val="single" w:sz="4" w:space="0" w:color="7030A0"/>
              <w:bottom w:val="nil"/>
              <w:right w:val="single" w:sz="4" w:space="0" w:color="7030A0"/>
            </w:tcBorders>
            <w:shd w:val="clear" w:color="000000" w:fill="FFFFFF"/>
            <w:noWrap/>
            <w:vAlign w:val="center"/>
          </w:tcPr>
          <w:p w:rsidR="000C56BF" w:rsidRPr="00E15AE7" w:rsidRDefault="000C56BF" w:rsidP="000C56BF">
            <w:pPr>
              <w:keepNext/>
              <w:spacing w:before="20" w:after="20" w:line="240" w:lineRule="auto"/>
              <w:ind w:left="109"/>
              <w:contextualSpacing/>
              <w:rPr>
                <w:rFonts w:cs="Arial"/>
                <w:color w:val="000000"/>
                <w:sz w:val="18"/>
                <w:szCs w:val="18"/>
              </w:rPr>
            </w:pPr>
            <w:r w:rsidRPr="00E15AE7">
              <w:rPr>
                <w:rFonts w:cs="Arial"/>
                <w:color w:val="000000"/>
                <w:sz w:val="18"/>
                <w:szCs w:val="18"/>
              </w:rPr>
              <w:t>SA - Adelaide - South</w:t>
            </w:r>
          </w:p>
        </w:tc>
        <w:tc>
          <w:tcPr>
            <w:tcW w:w="1056"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0.99</w:t>
            </w:r>
          </w:p>
        </w:tc>
        <w:tc>
          <w:tcPr>
            <w:tcW w:w="1057"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0.99</w:t>
            </w:r>
          </w:p>
        </w:tc>
        <w:tc>
          <w:tcPr>
            <w:tcW w:w="1056" w:type="dxa"/>
            <w:tcBorders>
              <w:left w:val="single" w:sz="4" w:space="0" w:color="7030A0"/>
              <w:bottom w:val="nil"/>
              <w:right w:val="single" w:sz="4" w:space="0" w:color="7030A0"/>
            </w:tcBorders>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0.99</w:t>
            </w:r>
          </w:p>
        </w:tc>
        <w:tc>
          <w:tcPr>
            <w:tcW w:w="1083" w:type="dxa"/>
            <w:tcBorders>
              <w:left w:val="single" w:sz="4" w:space="0" w:color="7030A0"/>
              <w:bottom w:val="nil"/>
              <w:right w:val="single" w:sz="4" w:space="0" w:color="7030A0"/>
            </w:tcBorders>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0.99</w:t>
            </w:r>
          </w:p>
        </w:tc>
        <w:tc>
          <w:tcPr>
            <w:tcW w:w="1031"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0.96</w:t>
            </w:r>
          </w:p>
        </w:tc>
        <w:tc>
          <w:tcPr>
            <w:tcW w:w="1056"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0.94</w:t>
            </w:r>
          </w:p>
        </w:tc>
        <w:tc>
          <w:tcPr>
            <w:tcW w:w="1032"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0.93</w:t>
            </w:r>
          </w:p>
        </w:tc>
        <w:tc>
          <w:tcPr>
            <w:tcW w:w="1082" w:type="dxa"/>
            <w:tcBorders>
              <w:left w:val="single" w:sz="4" w:space="0" w:color="7030A0"/>
              <w:bottom w:val="nil"/>
              <w:right w:val="single" w:sz="4" w:space="0" w:color="7030A0"/>
            </w:tcBorders>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0.95</w:t>
            </w:r>
          </w:p>
        </w:tc>
        <w:tc>
          <w:tcPr>
            <w:tcW w:w="1044"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0.94</w:t>
            </w:r>
          </w:p>
        </w:tc>
        <w:tc>
          <w:tcPr>
            <w:tcW w:w="1069"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0.94</w:t>
            </w:r>
          </w:p>
        </w:tc>
        <w:tc>
          <w:tcPr>
            <w:tcW w:w="1057"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0.93</w:t>
            </w:r>
          </w:p>
        </w:tc>
      </w:tr>
      <w:tr w:rsidR="000C56BF" w:rsidRPr="00E15AE7" w:rsidTr="00EC298B">
        <w:trPr>
          <w:trHeight w:val="240"/>
        </w:trPr>
        <w:tc>
          <w:tcPr>
            <w:tcW w:w="3681" w:type="dxa"/>
            <w:tcBorders>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cs="Arial"/>
                <w:color w:val="000000"/>
                <w:sz w:val="18"/>
                <w:szCs w:val="18"/>
              </w:rPr>
            </w:pPr>
            <w:r w:rsidRPr="00E15AE7">
              <w:rPr>
                <w:rFonts w:cs="Arial"/>
                <w:color w:val="000000"/>
                <w:sz w:val="18"/>
                <w:szCs w:val="18"/>
              </w:rPr>
              <w:t>SA - Adelaide - West</w:t>
            </w:r>
          </w:p>
        </w:tc>
        <w:tc>
          <w:tcPr>
            <w:tcW w:w="1056"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0.99</w:t>
            </w:r>
          </w:p>
        </w:tc>
        <w:tc>
          <w:tcPr>
            <w:tcW w:w="1057"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0.99</w:t>
            </w:r>
          </w:p>
        </w:tc>
        <w:tc>
          <w:tcPr>
            <w:tcW w:w="1056" w:type="dxa"/>
            <w:tcBorders>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0.99</w:t>
            </w:r>
          </w:p>
        </w:tc>
        <w:tc>
          <w:tcPr>
            <w:tcW w:w="1083" w:type="dxa"/>
            <w:tcBorders>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0.99</w:t>
            </w:r>
          </w:p>
        </w:tc>
        <w:tc>
          <w:tcPr>
            <w:tcW w:w="1031"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0.99</w:t>
            </w:r>
          </w:p>
        </w:tc>
        <w:tc>
          <w:tcPr>
            <w:tcW w:w="1056"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0.99</w:t>
            </w:r>
          </w:p>
        </w:tc>
        <w:tc>
          <w:tcPr>
            <w:tcW w:w="1032"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0.99</w:t>
            </w:r>
          </w:p>
        </w:tc>
        <w:tc>
          <w:tcPr>
            <w:tcW w:w="1082" w:type="dxa"/>
            <w:tcBorders>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1.00</w:t>
            </w:r>
          </w:p>
        </w:tc>
        <w:tc>
          <w:tcPr>
            <w:tcW w:w="1044"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0.99</w:t>
            </w:r>
          </w:p>
        </w:tc>
        <w:tc>
          <w:tcPr>
            <w:tcW w:w="1069"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0.99</w:t>
            </w:r>
          </w:p>
        </w:tc>
        <w:tc>
          <w:tcPr>
            <w:tcW w:w="1057"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0.99</w:t>
            </w:r>
          </w:p>
        </w:tc>
      </w:tr>
      <w:tr w:rsidR="000C56BF" w:rsidRPr="00E15AE7" w:rsidTr="00EC298B">
        <w:trPr>
          <w:trHeight w:val="240"/>
        </w:trPr>
        <w:tc>
          <w:tcPr>
            <w:tcW w:w="3681" w:type="dxa"/>
            <w:tcBorders>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cs="Arial"/>
                <w:color w:val="000000"/>
                <w:sz w:val="18"/>
                <w:szCs w:val="18"/>
              </w:rPr>
            </w:pPr>
            <w:r w:rsidRPr="00E15AE7">
              <w:rPr>
                <w:rFonts w:cs="Arial"/>
                <w:color w:val="000000"/>
                <w:sz w:val="18"/>
                <w:szCs w:val="18"/>
              </w:rPr>
              <w:t>SA - Barossa - Yorke - Mid North</w:t>
            </w:r>
          </w:p>
        </w:tc>
        <w:tc>
          <w:tcPr>
            <w:tcW w:w="1056"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1.02</w:t>
            </w:r>
          </w:p>
        </w:tc>
        <w:tc>
          <w:tcPr>
            <w:tcW w:w="1057"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1.02</w:t>
            </w:r>
          </w:p>
        </w:tc>
        <w:tc>
          <w:tcPr>
            <w:tcW w:w="1056" w:type="dxa"/>
            <w:tcBorders>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1.02</w:t>
            </w:r>
          </w:p>
        </w:tc>
        <w:tc>
          <w:tcPr>
            <w:tcW w:w="1083" w:type="dxa"/>
            <w:tcBorders>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1.03</w:t>
            </w:r>
          </w:p>
        </w:tc>
        <w:tc>
          <w:tcPr>
            <w:tcW w:w="1031"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0.94</w:t>
            </w:r>
          </w:p>
        </w:tc>
        <w:tc>
          <w:tcPr>
            <w:tcW w:w="1056"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0.89</w:t>
            </w:r>
          </w:p>
        </w:tc>
        <w:tc>
          <w:tcPr>
            <w:tcW w:w="1032"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0.86</w:t>
            </w:r>
          </w:p>
        </w:tc>
        <w:tc>
          <w:tcPr>
            <w:tcW w:w="1082" w:type="dxa"/>
            <w:tcBorders>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0.92</w:t>
            </w:r>
          </w:p>
        </w:tc>
        <w:tc>
          <w:tcPr>
            <w:tcW w:w="1044"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0.90</w:t>
            </w:r>
          </w:p>
        </w:tc>
        <w:tc>
          <w:tcPr>
            <w:tcW w:w="1069"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0.88</w:t>
            </w:r>
          </w:p>
        </w:tc>
        <w:tc>
          <w:tcPr>
            <w:tcW w:w="1057"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0.86</w:t>
            </w:r>
          </w:p>
        </w:tc>
      </w:tr>
      <w:tr w:rsidR="000C56BF" w:rsidRPr="00E15AE7" w:rsidTr="00EC298B">
        <w:trPr>
          <w:trHeight w:val="240"/>
        </w:trPr>
        <w:tc>
          <w:tcPr>
            <w:tcW w:w="3681" w:type="dxa"/>
            <w:tcBorders>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cs="Arial"/>
                <w:color w:val="000000"/>
                <w:sz w:val="18"/>
                <w:szCs w:val="18"/>
              </w:rPr>
            </w:pPr>
            <w:r w:rsidRPr="00E15AE7">
              <w:rPr>
                <w:rFonts w:cs="Arial"/>
                <w:color w:val="000000"/>
                <w:sz w:val="18"/>
                <w:szCs w:val="18"/>
              </w:rPr>
              <w:t>SA - South Australia - Outback</w:t>
            </w:r>
          </w:p>
        </w:tc>
        <w:tc>
          <w:tcPr>
            <w:tcW w:w="1056"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1.15</w:t>
            </w:r>
          </w:p>
        </w:tc>
        <w:tc>
          <w:tcPr>
            <w:tcW w:w="1057"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1.15</w:t>
            </w:r>
          </w:p>
        </w:tc>
        <w:tc>
          <w:tcPr>
            <w:tcW w:w="1056" w:type="dxa"/>
            <w:tcBorders>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1.15</w:t>
            </w:r>
          </w:p>
        </w:tc>
        <w:tc>
          <w:tcPr>
            <w:tcW w:w="1083" w:type="dxa"/>
            <w:tcBorders>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1.18</w:t>
            </w:r>
          </w:p>
        </w:tc>
        <w:tc>
          <w:tcPr>
            <w:tcW w:w="1031"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1.06</w:t>
            </w:r>
          </w:p>
        </w:tc>
        <w:tc>
          <w:tcPr>
            <w:tcW w:w="1056"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1.01</w:t>
            </w:r>
          </w:p>
        </w:tc>
        <w:tc>
          <w:tcPr>
            <w:tcW w:w="1032"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0.99</w:t>
            </w:r>
          </w:p>
        </w:tc>
        <w:tc>
          <w:tcPr>
            <w:tcW w:w="1082" w:type="dxa"/>
            <w:tcBorders>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1.01</w:t>
            </w:r>
          </w:p>
        </w:tc>
        <w:tc>
          <w:tcPr>
            <w:tcW w:w="1044"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1.01</w:t>
            </w:r>
          </w:p>
        </w:tc>
        <w:tc>
          <w:tcPr>
            <w:tcW w:w="1069"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1.01</w:t>
            </w:r>
          </w:p>
        </w:tc>
        <w:tc>
          <w:tcPr>
            <w:tcW w:w="1057"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0.99</w:t>
            </w:r>
          </w:p>
        </w:tc>
      </w:tr>
      <w:tr w:rsidR="000C56BF" w:rsidRPr="00E15AE7" w:rsidTr="00EC298B">
        <w:trPr>
          <w:trHeight w:val="240"/>
        </w:trPr>
        <w:tc>
          <w:tcPr>
            <w:tcW w:w="3681" w:type="dxa"/>
            <w:tcBorders>
              <w:left w:val="single" w:sz="4" w:space="0" w:color="7030A0"/>
              <w:bottom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cs="Arial"/>
                <w:color w:val="000000"/>
                <w:sz w:val="18"/>
                <w:szCs w:val="18"/>
              </w:rPr>
            </w:pPr>
            <w:r w:rsidRPr="00E15AE7">
              <w:rPr>
                <w:rFonts w:cs="Arial"/>
                <w:color w:val="000000"/>
                <w:sz w:val="18"/>
                <w:szCs w:val="18"/>
              </w:rPr>
              <w:t>SA - South Australia - South East</w:t>
            </w:r>
          </w:p>
        </w:tc>
        <w:tc>
          <w:tcPr>
            <w:tcW w:w="1056" w:type="dxa"/>
            <w:tcBorders>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1.02</w:t>
            </w:r>
          </w:p>
        </w:tc>
        <w:tc>
          <w:tcPr>
            <w:tcW w:w="1057" w:type="dxa"/>
            <w:tcBorders>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1.02</w:t>
            </w:r>
          </w:p>
        </w:tc>
        <w:tc>
          <w:tcPr>
            <w:tcW w:w="1056" w:type="dxa"/>
            <w:tcBorders>
              <w:left w:val="single" w:sz="4" w:space="0" w:color="7030A0"/>
              <w:bottom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1.02</w:t>
            </w:r>
          </w:p>
        </w:tc>
        <w:tc>
          <w:tcPr>
            <w:tcW w:w="1083" w:type="dxa"/>
            <w:tcBorders>
              <w:left w:val="single" w:sz="4" w:space="0" w:color="7030A0"/>
              <w:bottom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1.03</w:t>
            </w:r>
          </w:p>
        </w:tc>
        <w:tc>
          <w:tcPr>
            <w:tcW w:w="1031" w:type="dxa"/>
            <w:tcBorders>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0.94</w:t>
            </w:r>
          </w:p>
        </w:tc>
        <w:tc>
          <w:tcPr>
            <w:tcW w:w="1056" w:type="dxa"/>
            <w:tcBorders>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0.89</w:t>
            </w:r>
          </w:p>
        </w:tc>
        <w:tc>
          <w:tcPr>
            <w:tcW w:w="1032" w:type="dxa"/>
            <w:tcBorders>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0.86</w:t>
            </w:r>
          </w:p>
        </w:tc>
        <w:tc>
          <w:tcPr>
            <w:tcW w:w="1082" w:type="dxa"/>
            <w:tcBorders>
              <w:left w:val="single" w:sz="4" w:space="0" w:color="7030A0"/>
              <w:bottom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0.92</w:t>
            </w:r>
          </w:p>
        </w:tc>
        <w:tc>
          <w:tcPr>
            <w:tcW w:w="1044" w:type="dxa"/>
            <w:tcBorders>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0.90</w:t>
            </w:r>
          </w:p>
        </w:tc>
        <w:tc>
          <w:tcPr>
            <w:tcW w:w="1069" w:type="dxa"/>
            <w:tcBorders>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0.88</w:t>
            </w:r>
          </w:p>
        </w:tc>
        <w:tc>
          <w:tcPr>
            <w:tcW w:w="1057" w:type="dxa"/>
            <w:tcBorders>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0.86</w:t>
            </w:r>
          </w:p>
        </w:tc>
      </w:tr>
      <w:tr w:rsidR="000C56BF" w:rsidRPr="00E15AE7" w:rsidTr="00EC298B">
        <w:trPr>
          <w:trHeight w:val="240"/>
        </w:trPr>
        <w:tc>
          <w:tcPr>
            <w:tcW w:w="3681" w:type="dxa"/>
            <w:tcBorders>
              <w:top w:val="single" w:sz="4" w:space="0" w:color="7030A0"/>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TAS - Hobart</w:t>
            </w:r>
          </w:p>
        </w:tc>
        <w:tc>
          <w:tcPr>
            <w:tcW w:w="1056"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1.00</w:t>
            </w:r>
          </w:p>
        </w:tc>
        <w:tc>
          <w:tcPr>
            <w:tcW w:w="1057"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1.00</w:t>
            </w:r>
          </w:p>
        </w:tc>
        <w:tc>
          <w:tcPr>
            <w:tcW w:w="1056" w:type="dxa"/>
            <w:tcBorders>
              <w:top w:val="single" w:sz="4" w:space="0" w:color="7030A0"/>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1.00</w:t>
            </w:r>
          </w:p>
        </w:tc>
        <w:tc>
          <w:tcPr>
            <w:tcW w:w="1083" w:type="dxa"/>
            <w:tcBorders>
              <w:top w:val="single" w:sz="4" w:space="0" w:color="7030A0"/>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1.00</w:t>
            </w:r>
          </w:p>
        </w:tc>
        <w:tc>
          <w:tcPr>
            <w:tcW w:w="1031"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0.94</w:t>
            </w:r>
          </w:p>
        </w:tc>
        <w:tc>
          <w:tcPr>
            <w:tcW w:w="1056"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0.90</w:t>
            </w:r>
          </w:p>
        </w:tc>
        <w:tc>
          <w:tcPr>
            <w:tcW w:w="1032"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0.88</w:t>
            </w:r>
          </w:p>
        </w:tc>
        <w:tc>
          <w:tcPr>
            <w:tcW w:w="1082" w:type="dxa"/>
            <w:tcBorders>
              <w:top w:val="single" w:sz="4" w:space="0" w:color="7030A0"/>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0.93</w:t>
            </w:r>
          </w:p>
        </w:tc>
        <w:tc>
          <w:tcPr>
            <w:tcW w:w="1044"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0.91</w:t>
            </w:r>
          </w:p>
        </w:tc>
        <w:tc>
          <w:tcPr>
            <w:tcW w:w="1069"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0.90</w:t>
            </w:r>
          </w:p>
        </w:tc>
        <w:tc>
          <w:tcPr>
            <w:tcW w:w="1057"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0.88</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TAS - Launceston and North East</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1.08</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1.09</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1.09</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1.10</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1.01</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0.95</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0.93</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0.97</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0.96</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0.95</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0.93</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TAS - South East</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1.08</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1.08</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1.08</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1.10</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1.00</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0.94</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0.91</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0.96</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0.94</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0.94</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0.92</w:t>
            </w:r>
          </w:p>
        </w:tc>
      </w:tr>
      <w:tr w:rsidR="000C56BF" w:rsidRPr="00E15AE7" w:rsidTr="00EC298B">
        <w:trPr>
          <w:trHeight w:val="240"/>
        </w:trPr>
        <w:tc>
          <w:tcPr>
            <w:tcW w:w="3681" w:type="dxa"/>
            <w:tcBorders>
              <w:top w:val="nil"/>
              <w:left w:val="single" w:sz="4" w:space="0" w:color="7030A0"/>
              <w:bottom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TAS - West and North West</w:t>
            </w:r>
          </w:p>
        </w:tc>
        <w:tc>
          <w:tcPr>
            <w:tcW w:w="1056"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1.08</w:t>
            </w:r>
          </w:p>
        </w:tc>
        <w:tc>
          <w:tcPr>
            <w:tcW w:w="1057"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1.09</w:t>
            </w:r>
          </w:p>
        </w:tc>
        <w:tc>
          <w:tcPr>
            <w:tcW w:w="1056" w:type="dxa"/>
            <w:tcBorders>
              <w:top w:val="nil"/>
              <w:left w:val="single" w:sz="4" w:space="0" w:color="7030A0"/>
              <w:bottom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1.09</w:t>
            </w:r>
          </w:p>
        </w:tc>
        <w:tc>
          <w:tcPr>
            <w:tcW w:w="1083" w:type="dxa"/>
            <w:tcBorders>
              <w:top w:val="nil"/>
              <w:left w:val="single" w:sz="4" w:space="0" w:color="7030A0"/>
              <w:bottom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1.10</w:t>
            </w:r>
          </w:p>
        </w:tc>
        <w:tc>
          <w:tcPr>
            <w:tcW w:w="1031"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1.00</w:t>
            </w:r>
          </w:p>
        </w:tc>
        <w:tc>
          <w:tcPr>
            <w:tcW w:w="1056"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0.95</w:t>
            </w:r>
          </w:p>
        </w:tc>
        <w:tc>
          <w:tcPr>
            <w:tcW w:w="1032"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0.92</w:t>
            </w:r>
          </w:p>
        </w:tc>
        <w:tc>
          <w:tcPr>
            <w:tcW w:w="1082" w:type="dxa"/>
            <w:tcBorders>
              <w:top w:val="nil"/>
              <w:left w:val="single" w:sz="4" w:space="0" w:color="7030A0"/>
              <w:bottom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0.96</w:t>
            </w:r>
          </w:p>
        </w:tc>
        <w:tc>
          <w:tcPr>
            <w:tcW w:w="1044"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0.95</w:t>
            </w:r>
          </w:p>
        </w:tc>
        <w:tc>
          <w:tcPr>
            <w:tcW w:w="1069"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0.94</w:t>
            </w:r>
          </w:p>
        </w:tc>
        <w:tc>
          <w:tcPr>
            <w:tcW w:w="1057"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0.93</w:t>
            </w:r>
          </w:p>
        </w:tc>
      </w:tr>
      <w:tr w:rsidR="000C56BF" w:rsidRPr="00E15AE7" w:rsidTr="00EC298B">
        <w:trPr>
          <w:trHeight w:val="240"/>
        </w:trPr>
        <w:tc>
          <w:tcPr>
            <w:tcW w:w="3681" w:type="dxa"/>
            <w:tcBorders>
              <w:top w:val="single" w:sz="4" w:space="0" w:color="7030A0"/>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VIC - Ballarat</w:t>
            </w:r>
          </w:p>
        </w:tc>
        <w:tc>
          <w:tcPr>
            <w:tcW w:w="1056"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1.04</w:t>
            </w:r>
          </w:p>
        </w:tc>
        <w:tc>
          <w:tcPr>
            <w:tcW w:w="1057"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1.05</w:t>
            </w:r>
          </w:p>
        </w:tc>
        <w:tc>
          <w:tcPr>
            <w:tcW w:w="1056" w:type="dxa"/>
            <w:tcBorders>
              <w:top w:val="single" w:sz="4" w:space="0" w:color="7030A0"/>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1.05</w:t>
            </w:r>
          </w:p>
        </w:tc>
        <w:tc>
          <w:tcPr>
            <w:tcW w:w="1083" w:type="dxa"/>
            <w:tcBorders>
              <w:top w:val="single" w:sz="4" w:space="0" w:color="7030A0"/>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1.06</w:t>
            </w:r>
          </w:p>
        </w:tc>
        <w:tc>
          <w:tcPr>
            <w:tcW w:w="1031"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0.98</w:t>
            </w:r>
          </w:p>
        </w:tc>
        <w:tc>
          <w:tcPr>
            <w:tcW w:w="1056"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0.93</w:t>
            </w:r>
          </w:p>
        </w:tc>
        <w:tc>
          <w:tcPr>
            <w:tcW w:w="1032"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0.91</w:t>
            </w:r>
          </w:p>
        </w:tc>
        <w:tc>
          <w:tcPr>
            <w:tcW w:w="1082" w:type="dxa"/>
            <w:tcBorders>
              <w:top w:val="single" w:sz="4" w:space="0" w:color="7030A0"/>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0.95</w:t>
            </w:r>
          </w:p>
        </w:tc>
        <w:tc>
          <w:tcPr>
            <w:tcW w:w="1044"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0.94</w:t>
            </w:r>
          </w:p>
        </w:tc>
        <w:tc>
          <w:tcPr>
            <w:tcW w:w="1069"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0.93</w:t>
            </w:r>
          </w:p>
        </w:tc>
        <w:tc>
          <w:tcPr>
            <w:tcW w:w="1057"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0.91</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VIC - Bendigo</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1.05</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1.05</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1.05</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1.06</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0.98</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0.93</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0.91</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0.95</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0.94</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0.93</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0.91</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VIC - Geelong</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1.01</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1.01</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1.01</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1.01</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0.97</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0.93</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0.92</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0.95</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0.94</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0.93</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0.92</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VIC - Hume</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1.04</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1.05</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1.05</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1.06</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0.97</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0.92</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0.89</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0.94</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0.93</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0.91</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0.89</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VIC - Latrobe - Gippsland</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1.00</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1.01</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1.01</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1.01</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0.94</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0.89</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0.86</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0.92</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0.89</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0.88</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0.86</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VIC - Melbourne - Inner</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1.00</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1.00</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1.00</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0.99</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1.13</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1.22</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1.27</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1.16</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1.20</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1.23</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1.27</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VIC - Melbourne - Inner East</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0.99</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0.99</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0.99</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0.98</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1.06</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1.11</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1.14</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1.08</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1.10</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1.12</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1.14</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VIC - Melbourne - Inner South</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0.99</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0.99</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0.99</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0.98</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1.07</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1.13</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1.16</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1.09</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1.12</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1.14</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1.16</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VIC - Melbourne - North East</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0.97</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0.97</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0.97</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0.97</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0.96</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0.94</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0.94</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0.96</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0.95</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0.94</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0.94</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VIC - Melbourne - North West</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1.01</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1.01</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1.01</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1.01</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0.96</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0.92</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0.91</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0.94</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0.93</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0.92</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0.91</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VIC - Melbourne - Outer East</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0.97</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0.97</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0.97</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0.96</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0.94</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0.91</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0.90</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0.93</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0.92</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0.91</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0.90</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VIC - Melbourne - South East</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1.01</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1.01</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1.01</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1.02</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1.00</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0.98</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0.98</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0.99</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0.98</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0.98</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0.98</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VIC - Melbourne - West</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0.97</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0.97</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0.97</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0.97</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0.95</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0.93</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0.91</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0.94</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0.93</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0.92</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0.91</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VIC - Mornington Peninsula</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0.97</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0.97</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0.97</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0.96</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0.93</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0.91</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0.89</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0.93</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0.91</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0.90</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0.89</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VIC - North West</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1.04</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1.05</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1.05</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1.06</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0.96</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0.90</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0.88</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0.93</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0.91</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0.90</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0.88</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VIC - Shepparton</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1.04</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1.05</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1.05</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1.06</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0.97</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0.92</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0.89</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0.94</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0.92</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0.91</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0.89</w:t>
            </w:r>
          </w:p>
        </w:tc>
      </w:tr>
      <w:tr w:rsidR="000C56BF" w:rsidRPr="00E15AE7" w:rsidTr="00EC298B">
        <w:trPr>
          <w:trHeight w:val="240"/>
        </w:trPr>
        <w:tc>
          <w:tcPr>
            <w:tcW w:w="3681" w:type="dxa"/>
            <w:tcBorders>
              <w:top w:val="nil"/>
              <w:left w:val="single" w:sz="4" w:space="0" w:color="7030A0"/>
              <w:bottom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VIC - Warrnambool and South West</w:t>
            </w:r>
          </w:p>
        </w:tc>
        <w:tc>
          <w:tcPr>
            <w:tcW w:w="1056"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1.04</w:t>
            </w:r>
          </w:p>
        </w:tc>
        <w:tc>
          <w:tcPr>
            <w:tcW w:w="1057"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1.05</w:t>
            </w:r>
          </w:p>
        </w:tc>
        <w:tc>
          <w:tcPr>
            <w:tcW w:w="1056" w:type="dxa"/>
            <w:tcBorders>
              <w:top w:val="nil"/>
              <w:left w:val="single" w:sz="4" w:space="0" w:color="7030A0"/>
              <w:bottom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1.05</w:t>
            </w:r>
          </w:p>
        </w:tc>
        <w:tc>
          <w:tcPr>
            <w:tcW w:w="1083" w:type="dxa"/>
            <w:tcBorders>
              <w:top w:val="nil"/>
              <w:left w:val="single" w:sz="4" w:space="0" w:color="7030A0"/>
              <w:bottom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1.06</w:t>
            </w:r>
          </w:p>
        </w:tc>
        <w:tc>
          <w:tcPr>
            <w:tcW w:w="1031"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0.97</w:t>
            </w:r>
          </w:p>
        </w:tc>
        <w:tc>
          <w:tcPr>
            <w:tcW w:w="1056"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0.92</w:t>
            </w:r>
          </w:p>
        </w:tc>
        <w:tc>
          <w:tcPr>
            <w:tcW w:w="1032"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0.89</w:t>
            </w:r>
          </w:p>
        </w:tc>
        <w:tc>
          <w:tcPr>
            <w:tcW w:w="1082" w:type="dxa"/>
            <w:tcBorders>
              <w:top w:val="nil"/>
              <w:left w:val="single" w:sz="4" w:space="0" w:color="7030A0"/>
              <w:bottom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0.94</w:t>
            </w:r>
          </w:p>
        </w:tc>
        <w:tc>
          <w:tcPr>
            <w:tcW w:w="1044"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0.93</w:t>
            </w:r>
          </w:p>
        </w:tc>
        <w:tc>
          <w:tcPr>
            <w:tcW w:w="1069"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0.92</w:t>
            </w:r>
          </w:p>
        </w:tc>
        <w:tc>
          <w:tcPr>
            <w:tcW w:w="1057"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0.90</w:t>
            </w:r>
          </w:p>
        </w:tc>
      </w:tr>
      <w:tr w:rsidR="000C56BF" w:rsidRPr="00E15AE7" w:rsidTr="00EC298B">
        <w:trPr>
          <w:cantSplit/>
          <w:trHeight w:val="240"/>
        </w:trPr>
        <w:tc>
          <w:tcPr>
            <w:tcW w:w="3681" w:type="dxa"/>
            <w:tcBorders>
              <w:top w:val="single" w:sz="4" w:space="0" w:color="7030A0"/>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WA - Bunbury</w:t>
            </w:r>
          </w:p>
        </w:tc>
        <w:tc>
          <w:tcPr>
            <w:tcW w:w="1056"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1.11</w:t>
            </w:r>
          </w:p>
        </w:tc>
        <w:tc>
          <w:tcPr>
            <w:tcW w:w="1057"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1.12</w:t>
            </w:r>
          </w:p>
        </w:tc>
        <w:tc>
          <w:tcPr>
            <w:tcW w:w="1056" w:type="dxa"/>
            <w:tcBorders>
              <w:top w:val="single" w:sz="4" w:space="0" w:color="7030A0"/>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1.12</w:t>
            </w:r>
          </w:p>
        </w:tc>
        <w:tc>
          <w:tcPr>
            <w:tcW w:w="1083" w:type="dxa"/>
            <w:tcBorders>
              <w:top w:val="single" w:sz="4" w:space="0" w:color="7030A0"/>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1.14</w:t>
            </w:r>
          </w:p>
        </w:tc>
        <w:tc>
          <w:tcPr>
            <w:tcW w:w="1031"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1.05</w:t>
            </w:r>
          </w:p>
        </w:tc>
        <w:tc>
          <w:tcPr>
            <w:tcW w:w="1056"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1.00</w:t>
            </w:r>
          </w:p>
        </w:tc>
        <w:tc>
          <w:tcPr>
            <w:tcW w:w="1032"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0.99</w:t>
            </w:r>
          </w:p>
        </w:tc>
        <w:tc>
          <w:tcPr>
            <w:tcW w:w="1082" w:type="dxa"/>
            <w:tcBorders>
              <w:top w:val="single" w:sz="4" w:space="0" w:color="7030A0"/>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1.01</w:t>
            </w:r>
          </w:p>
        </w:tc>
        <w:tc>
          <w:tcPr>
            <w:tcW w:w="1044"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1.01</w:t>
            </w:r>
          </w:p>
        </w:tc>
        <w:tc>
          <w:tcPr>
            <w:tcW w:w="1069"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1.00</w:t>
            </w:r>
          </w:p>
        </w:tc>
        <w:tc>
          <w:tcPr>
            <w:tcW w:w="1057"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0.99</w:t>
            </w:r>
          </w:p>
        </w:tc>
      </w:tr>
      <w:tr w:rsidR="000C56BF" w:rsidRPr="00E15AE7" w:rsidTr="00EC298B">
        <w:trPr>
          <w:cantSplit/>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WA - Mandurah</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1.07</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1.07</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1.07</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1.08</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1.01</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0.97</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0.96</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0.98</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0.98</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0.97</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0.96</w:t>
            </w:r>
          </w:p>
        </w:tc>
      </w:tr>
      <w:tr w:rsidR="000C56BF" w:rsidRPr="00E15AE7" w:rsidTr="00EC298B">
        <w:trPr>
          <w:cantSplit/>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WA - Perth - Inner</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1.07</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1.06</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1.06</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1.07</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1.22</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1.34</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1.42</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1.26</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1.32</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1.36</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1.42</w:t>
            </w:r>
          </w:p>
        </w:tc>
      </w:tr>
      <w:tr w:rsidR="000C56BF" w:rsidRPr="00E15AE7" w:rsidTr="00EC298B">
        <w:trPr>
          <w:cantSplit/>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WA - Perth - North East</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1.03</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1.03</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1.03</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1.04</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1.01</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1.00</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0.99</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1.00</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1.00</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1.00</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0.99</w:t>
            </w:r>
          </w:p>
        </w:tc>
      </w:tr>
      <w:tr w:rsidR="000C56BF" w:rsidRPr="00E15AE7" w:rsidTr="00EC298B">
        <w:trPr>
          <w:cantSplit/>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WA - Perth - North West</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1.04</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1.04</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1.04</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1.04</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1.04</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1.04</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1.05</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1.03</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1.04</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1.04</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1.05</w:t>
            </w:r>
          </w:p>
        </w:tc>
      </w:tr>
      <w:tr w:rsidR="000C56BF" w:rsidRPr="00E15AE7" w:rsidTr="00EC298B">
        <w:trPr>
          <w:cantSplit/>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WA - Perth - South East</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1.08</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1.08</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1.08</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1.09</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1.06</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1.06</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1.06</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1.05</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1.05</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1.06</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1.06</w:t>
            </w:r>
          </w:p>
        </w:tc>
      </w:tr>
      <w:tr w:rsidR="000C56BF" w:rsidRPr="00E15AE7" w:rsidTr="00EC298B">
        <w:trPr>
          <w:cantSplit/>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WA - Perth - South West</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1.03</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1.03</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1.03</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1.04</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1.03</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1.02</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1.02</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1.02</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1.02</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1.02</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1.02</w:t>
            </w:r>
          </w:p>
        </w:tc>
      </w:tr>
      <w:tr w:rsidR="000C56BF" w:rsidRPr="00E15AE7" w:rsidTr="00EC298B">
        <w:trPr>
          <w:cantSplit/>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WA - Western Australia - Outback</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1.20</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1.21</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1.21</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1.24</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1.12</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1.07</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1.05</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1.06</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1.06</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1.07</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1.06</w:t>
            </w:r>
          </w:p>
        </w:tc>
      </w:tr>
      <w:tr w:rsidR="000C56BF" w:rsidRPr="00E15AE7" w:rsidTr="00EC298B">
        <w:trPr>
          <w:cantSplit/>
          <w:trHeight w:val="240"/>
        </w:trPr>
        <w:tc>
          <w:tcPr>
            <w:tcW w:w="3681" w:type="dxa"/>
            <w:tcBorders>
              <w:top w:val="nil"/>
              <w:left w:val="single" w:sz="4" w:space="0" w:color="7030A0"/>
              <w:bottom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WA - Western Australia - Wheat Belt</w:t>
            </w:r>
          </w:p>
        </w:tc>
        <w:tc>
          <w:tcPr>
            <w:tcW w:w="1056"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1.11</w:t>
            </w:r>
          </w:p>
        </w:tc>
        <w:tc>
          <w:tcPr>
            <w:tcW w:w="1057"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1.11</w:t>
            </w:r>
          </w:p>
        </w:tc>
        <w:tc>
          <w:tcPr>
            <w:tcW w:w="1056" w:type="dxa"/>
            <w:tcBorders>
              <w:top w:val="nil"/>
              <w:left w:val="single" w:sz="4" w:space="0" w:color="7030A0"/>
              <w:bottom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1.11</w:t>
            </w:r>
          </w:p>
        </w:tc>
        <w:tc>
          <w:tcPr>
            <w:tcW w:w="1083" w:type="dxa"/>
            <w:tcBorders>
              <w:top w:val="nil"/>
              <w:left w:val="single" w:sz="4" w:space="0" w:color="7030A0"/>
              <w:bottom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1.13</w:t>
            </w:r>
          </w:p>
        </w:tc>
        <w:tc>
          <w:tcPr>
            <w:tcW w:w="1031"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1.03</w:t>
            </w:r>
          </w:p>
        </w:tc>
        <w:tc>
          <w:tcPr>
            <w:tcW w:w="1056"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0.97</w:t>
            </w:r>
          </w:p>
        </w:tc>
        <w:tc>
          <w:tcPr>
            <w:tcW w:w="1032"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0.95</w:t>
            </w:r>
          </w:p>
        </w:tc>
        <w:tc>
          <w:tcPr>
            <w:tcW w:w="1082" w:type="dxa"/>
            <w:tcBorders>
              <w:top w:val="nil"/>
              <w:left w:val="single" w:sz="4" w:space="0" w:color="7030A0"/>
              <w:bottom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0.98</w:t>
            </w:r>
          </w:p>
        </w:tc>
        <w:tc>
          <w:tcPr>
            <w:tcW w:w="1044"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0.97</w:t>
            </w:r>
          </w:p>
        </w:tc>
        <w:tc>
          <w:tcPr>
            <w:tcW w:w="1069"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0.97</w:t>
            </w:r>
          </w:p>
        </w:tc>
        <w:tc>
          <w:tcPr>
            <w:tcW w:w="1057"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0.95</w:t>
            </w:r>
          </w:p>
        </w:tc>
      </w:tr>
    </w:tbl>
    <w:p w:rsidR="0088707B" w:rsidRDefault="0088707B" w:rsidP="00F54025"/>
    <w:p w:rsidR="007D4141" w:rsidRDefault="007D4141"/>
    <w:sectPr w:rsidR="007D4141" w:rsidSect="00ED0573">
      <w:pgSz w:w="16838" w:h="11906" w:orient="landscape"/>
      <w:pgMar w:top="720" w:right="567" w:bottom="1276"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CF0" w:rsidRDefault="00425CF0" w:rsidP="002679FC">
      <w:r>
        <w:separator/>
      </w:r>
    </w:p>
  </w:endnote>
  <w:endnote w:type="continuationSeparator" w:id="0">
    <w:p w:rsidR="00425CF0" w:rsidRDefault="00425CF0"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FSMe-Bold">
    <w:altName w:val="Cambria"/>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520" w:rsidRDefault="006F1520" w:rsidP="00D64CD8">
    <w:pPr>
      <w:pStyle w:val="Footer"/>
      <w:jc w:val="right"/>
    </w:pPr>
  </w:p>
  <w:p w:rsidR="006F1520" w:rsidRPr="002679FC" w:rsidRDefault="006F1520" w:rsidP="00231CCA">
    <w:pPr>
      <w:pStyle w:val="Footer"/>
      <w:tabs>
        <w:tab w:val="left" w:pos="2835"/>
      </w:tabs>
      <w:rPr>
        <w:noProof/>
        <w:color w:val="652F76"/>
      </w:rPr>
    </w:pPr>
    <w:r>
      <w:rPr>
        <w:noProof/>
        <w:lang w:eastAsia="en-AU"/>
      </w:rPr>
      <w:drawing>
        <wp:inline distT="0" distB="0" distL="0" distR="0" wp14:anchorId="10572953" wp14:editId="20CC33E0">
          <wp:extent cx="2276475" cy="539750"/>
          <wp:effectExtent l="0" t="0" r="9525" b="0"/>
          <wp:docPr id="7" name="Picture 7" descr="delivered by the National Disability Insurance Agency"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606937068"/>
        <w:docPartObj>
          <w:docPartGallery w:val="Page Numbers (Bottom of Page)"/>
          <w:docPartUnique/>
        </w:docPartObj>
      </w:sdtPr>
      <w:sdtEndPr>
        <w:rPr>
          <w:noProof/>
          <w:color w:val="652F76"/>
        </w:rPr>
      </w:sdtEndPr>
      <w:sdtContent>
        <w:r w:rsidRPr="002679FC">
          <w:rPr>
            <w:color w:val="652F76"/>
          </w:rPr>
          <w:fldChar w:fldCharType="begin"/>
        </w:r>
        <w:r w:rsidRPr="002679FC">
          <w:rPr>
            <w:color w:val="652F76"/>
          </w:rPr>
          <w:instrText xml:space="preserve"> PAGE   \* MERGEFORMAT </w:instrText>
        </w:r>
        <w:r w:rsidRPr="002679FC">
          <w:rPr>
            <w:color w:val="652F76"/>
          </w:rPr>
          <w:fldChar w:fldCharType="separate"/>
        </w:r>
        <w:r w:rsidR="00FB0532">
          <w:rPr>
            <w:noProof/>
            <w:color w:val="652F76"/>
          </w:rPr>
          <w:t>2</w:t>
        </w:r>
        <w:r w:rsidRPr="002679FC">
          <w:rPr>
            <w:noProof/>
            <w:color w:val="652F76"/>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520" w:rsidRPr="004D5F80" w:rsidRDefault="006F1520" w:rsidP="00231CCA">
    <w:pPr>
      <w:pStyle w:val="Footer"/>
      <w:tabs>
        <w:tab w:val="clear" w:pos="9026"/>
        <w:tab w:val="left" w:pos="1395"/>
        <w:tab w:val="left" w:pos="14175"/>
        <w:tab w:val="right" w:pos="15704"/>
      </w:tabs>
      <w:rPr>
        <w:noProof/>
        <w:color w:val="652F76"/>
      </w:rPr>
    </w:pPr>
    <w:r>
      <w:rPr>
        <w:noProof/>
        <w:lang w:eastAsia="en-AU"/>
      </w:rPr>
      <w:drawing>
        <wp:inline distT="0" distB="0" distL="0" distR="0" wp14:anchorId="0FDF2B4B" wp14:editId="4AB2F467">
          <wp:extent cx="2276475" cy="539750"/>
          <wp:effectExtent l="0" t="0" r="9525" b="0"/>
          <wp:docPr id="8" name="Picture 8" descr="delivered by the National Disability Insurance Agency"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r w:rsidR="00231CCA">
      <w:tab/>
    </w:r>
    <w:r w:rsidR="00231CCA">
      <w:tab/>
    </w:r>
    <w:r w:rsidR="00231CCA">
      <w:tab/>
    </w:r>
    <w:sdt>
      <w:sdtPr>
        <w:id w:val="-284195053"/>
        <w:docPartObj>
          <w:docPartGallery w:val="Page Numbers (Bottom of Page)"/>
          <w:docPartUnique/>
        </w:docPartObj>
      </w:sdtPr>
      <w:sdtEndPr>
        <w:rPr>
          <w:noProof/>
          <w:color w:val="652F76"/>
        </w:rPr>
      </w:sdtEndPr>
      <w:sdtContent>
        <w:r w:rsidRPr="002679FC">
          <w:rPr>
            <w:color w:val="652F76"/>
          </w:rPr>
          <w:fldChar w:fldCharType="begin"/>
        </w:r>
        <w:r w:rsidRPr="002679FC">
          <w:rPr>
            <w:color w:val="652F76"/>
          </w:rPr>
          <w:instrText xml:space="preserve"> PAGE   \* MERGEFORMAT </w:instrText>
        </w:r>
        <w:r w:rsidRPr="002679FC">
          <w:rPr>
            <w:color w:val="652F76"/>
          </w:rPr>
          <w:fldChar w:fldCharType="separate"/>
        </w:r>
        <w:r w:rsidR="00FB0532">
          <w:rPr>
            <w:noProof/>
            <w:color w:val="652F76"/>
          </w:rPr>
          <w:t>1</w:t>
        </w:r>
        <w:r w:rsidRPr="002679FC">
          <w:rPr>
            <w:noProof/>
            <w:color w:val="652F76"/>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520" w:rsidRPr="002679FC" w:rsidRDefault="006F1520" w:rsidP="00231CCA">
    <w:pPr>
      <w:pStyle w:val="Footer"/>
      <w:tabs>
        <w:tab w:val="clear" w:pos="4513"/>
        <w:tab w:val="clear" w:pos="9026"/>
        <w:tab w:val="left" w:pos="7938"/>
        <w:tab w:val="left" w:pos="8789"/>
      </w:tabs>
      <w:rPr>
        <w:noProof/>
        <w:color w:val="652F76"/>
      </w:rPr>
    </w:pPr>
    <w:r>
      <w:rPr>
        <w:noProof/>
        <w:lang w:eastAsia="en-AU"/>
      </w:rPr>
      <w:drawing>
        <wp:inline distT="0" distB="0" distL="0" distR="0" wp14:anchorId="4E56F2E0" wp14:editId="63FCED18">
          <wp:extent cx="2276475" cy="539750"/>
          <wp:effectExtent l="0" t="0" r="9525" b="0"/>
          <wp:docPr id="9" name="Picture 9" descr="delivered by the National Disability Insurance Agency"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4216075"/>
        <w:docPartObj>
          <w:docPartGallery w:val="Page Numbers (Bottom of Page)"/>
          <w:docPartUnique/>
        </w:docPartObj>
      </w:sdtPr>
      <w:sdtEndPr>
        <w:rPr>
          <w:noProof/>
          <w:color w:val="652F76"/>
        </w:rPr>
      </w:sdtEndPr>
      <w:sdtContent>
        <w:r w:rsidR="00231CCA">
          <w:tab/>
        </w:r>
        <w:r w:rsidRPr="002679FC">
          <w:rPr>
            <w:color w:val="652F76"/>
          </w:rPr>
          <w:fldChar w:fldCharType="begin"/>
        </w:r>
        <w:r w:rsidRPr="002679FC">
          <w:rPr>
            <w:color w:val="652F76"/>
          </w:rPr>
          <w:instrText xml:space="preserve"> PAGE   \* MERGEFORMAT </w:instrText>
        </w:r>
        <w:r w:rsidRPr="002679FC">
          <w:rPr>
            <w:color w:val="652F76"/>
          </w:rPr>
          <w:fldChar w:fldCharType="separate"/>
        </w:r>
        <w:r w:rsidR="00FB0532">
          <w:rPr>
            <w:noProof/>
            <w:color w:val="652F76"/>
          </w:rPr>
          <w:t>22</w:t>
        </w:r>
        <w:r w:rsidRPr="002679FC">
          <w:rPr>
            <w:noProof/>
            <w:color w:val="652F76"/>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520" w:rsidRPr="004D5F80" w:rsidRDefault="006F1520" w:rsidP="009128D1">
    <w:pPr>
      <w:pStyle w:val="Footer"/>
      <w:tabs>
        <w:tab w:val="clear" w:pos="4513"/>
        <w:tab w:val="left" w:pos="1395"/>
        <w:tab w:val="center" w:pos="8931"/>
        <w:tab w:val="right" w:pos="15704"/>
      </w:tabs>
      <w:rPr>
        <w:noProof/>
        <w:color w:val="652F76"/>
      </w:rPr>
    </w:pPr>
    <w:r>
      <w:rPr>
        <w:noProof/>
        <w:lang w:eastAsia="en-AU"/>
      </w:rPr>
      <w:drawing>
        <wp:inline distT="0" distB="0" distL="0" distR="0" wp14:anchorId="72C451C6" wp14:editId="7082062C">
          <wp:extent cx="2276475" cy="539750"/>
          <wp:effectExtent l="0" t="0" r="9525" b="0"/>
          <wp:docPr id="10" name="Picture 10" descr="delivered by teh National Disability Insurance Agency"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r>
      <w:tab/>
    </w:r>
    <w:sdt>
      <w:sdtPr>
        <w:id w:val="-1043209758"/>
        <w:docPartObj>
          <w:docPartGallery w:val="Page Numbers (Bottom of Page)"/>
          <w:docPartUnique/>
        </w:docPartObj>
      </w:sdtPr>
      <w:sdtEndPr>
        <w:rPr>
          <w:noProof/>
          <w:color w:val="652F76"/>
        </w:rPr>
      </w:sdtEndPr>
      <w:sdtContent>
        <w:r w:rsidRPr="002679FC">
          <w:rPr>
            <w:color w:val="652F76"/>
          </w:rPr>
          <w:fldChar w:fldCharType="begin"/>
        </w:r>
        <w:r w:rsidRPr="002679FC">
          <w:rPr>
            <w:color w:val="652F76"/>
          </w:rPr>
          <w:instrText xml:space="preserve"> PAGE   \* MERGEFORMAT </w:instrText>
        </w:r>
        <w:r w:rsidRPr="002679FC">
          <w:rPr>
            <w:color w:val="652F76"/>
          </w:rPr>
          <w:fldChar w:fldCharType="separate"/>
        </w:r>
        <w:r w:rsidR="00FB0532">
          <w:rPr>
            <w:noProof/>
            <w:color w:val="652F76"/>
          </w:rPr>
          <w:t>20</w:t>
        </w:r>
        <w:r w:rsidRPr="002679FC">
          <w:rPr>
            <w:noProof/>
            <w:color w:val="652F76"/>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CF0" w:rsidRDefault="00425CF0" w:rsidP="002679FC">
      <w:r>
        <w:separator/>
      </w:r>
    </w:p>
  </w:footnote>
  <w:footnote w:type="continuationSeparator" w:id="0">
    <w:p w:rsidR="00425CF0" w:rsidRDefault="00425CF0" w:rsidP="002679FC">
      <w:r>
        <w:continuationSeparator/>
      </w:r>
    </w:p>
  </w:footnote>
  <w:footnote w:id="1">
    <w:p w:rsidR="006F1520" w:rsidRDefault="006F1520" w:rsidP="006B2ECC">
      <w:pPr>
        <w:pStyle w:val="FootnoteText"/>
      </w:pPr>
      <w:r>
        <w:rPr>
          <w:rStyle w:val="FootnoteReference"/>
        </w:rPr>
        <w:footnoteRef/>
      </w:r>
      <w:r>
        <w:t xml:space="preserve"> </w:t>
      </w:r>
      <w:hyperlink r:id="rId1" w:history="1">
        <w:r>
          <w:rPr>
            <w:rStyle w:val="Hyperlink"/>
          </w:rPr>
          <w:t>Link to NDIS Terms of Business</w:t>
        </w:r>
      </w:hyperlink>
    </w:p>
  </w:footnote>
  <w:footnote w:id="2">
    <w:p w:rsidR="006F1520" w:rsidRDefault="006F1520" w:rsidP="006B2ECC">
      <w:pPr>
        <w:pStyle w:val="FootnoteText"/>
      </w:pPr>
      <w:r>
        <w:rPr>
          <w:rStyle w:val="FootnoteReference"/>
        </w:rPr>
        <w:footnoteRef/>
      </w:r>
      <w:r>
        <w:t xml:space="preserve"> </w:t>
      </w:r>
      <w:hyperlink r:id="rId2" w:history="1">
        <w:r w:rsidRPr="006F1520">
          <w:rPr>
            <w:rStyle w:val="Hyperlink"/>
          </w:rPr>
          <w:t>Link to NDIS Price Guide</w:t>
        </w:r>
      </w:hyperlink>
      <w:r>
        <w:t xml:space="preserve"> </w:t>
      </w:r>
    </w:p>
  </w:footnote>
  <w:footnote w:id="3">
    <w:p w:rsidR="006F1520" w:rsidRDefault="006F1520">
      <w:pPr>
        <w:pStyle w:val="FootnoteText"/>
      </w:pPr>
      <w:r>
        <w:rPr>
          <w:rStyle w:val="FootnoteReference"/>
        </w:rPr>
        <w:footnoteRef/>
      </w:r>
      <w:r>
        <w:t xml:space="preserve"> </w:t>
      </w:r>
      <w:hyperlink r:id="rId3" w:history="1">
        <w:r>
          <w:rPr>
            <w:rStyle w:val="Hyperlink"/>
          </w:rPr>
          <w:t>Link to NDIS Provider Portal</w:t>
        </w:r>
      </w:hyperlink>
    </w:p>
  </w:footnote>
  <w:footnote w:id="4">
    <w:p w:rsidR="006F1520" w:rsidRDefault="006F1520" w:rsidP="00506CD7">
      <w:pPr>
        <w:pStyle w:val="FootnoteText"/>
      </w:pPr>
      <w:r>
        <w:rPr>
          <w:rStyle w:val="FootnoteReference"/>
        </w:rPr>
        <w:footnoteRef/>
      </w:r>
      <w:r>
        <w:t xml:space="preserve"> </w:t>
      </w:r>
      <w:r>
        <w:tab/>
      </w:r>
      <w:hyperlink r:id="rId4" w:history="1">
        <w:r>
          <w:rPr>
            <w:rStyle w:val="Hyperlink"/>
          </w:rPr>
          <w:t>Link to Livable Housing Australia website</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520" w:rsidRDefault="006F1520" w:rsidP="003C3D27">
    <w:pPr>
      <w:pStyle w:val="Header"/>
      <w:tabs>
        <w:tab w:val="clear" w:pos="4513"/>
        <w:tab w:val="clear" w:pos="9026"/>
        <w:tab w:val="left" w:pos="361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520" w:rsidRDefault="006F15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520" w:rsidRDefault="006F1520" w:rsidP="003C3D27">
    <w:pPr>
      <w:pStyle w:val="Header"/>
      <w:tabs>
        <w:tab w:val="clear" w:pos="4513"/>
        <w:tab w:val="clear" w:pos="9026"/>
        <w:tab w:val="left" w:pos="3617"/>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520" w:rsidRPr="009128D1" w:rsidRDefault="006F1520" w:rsidP="009128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7062C"/>
    <w:multiLevelType w:val="hybridMultilevel"/>
    <w:tmpl w:val="0896E75C"/>
    <w:lvl w:ilvl="0" w:tplc="1E84185C">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1" w15:restartNumberingAfterBreak="0">
    <w:nsid w:val="02FD49DA"/>
    <w:multiLevelType w:val="hybridMultilevel"/>
    <w:tmpl w:val="F50ED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5A4425"/>
    <w:multiLevelType w:val="multilevel"/>
    <w:tmpl w:val="F050D7E0"/>
    <w:lvl w:ilvl="0">
      <w:start w:val="1"/>
      <w:numFmt w:val="decimal"/>
      <w:lvlText w:val="%1."/>
      <w:lvlJc w:val="left"/>
      <w:pPr>
        <w:ind w:left="252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3240" w:hanging="36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3" w15:restartNumberingAfterBreak="0">
    <w:nsid w:val="08C51231"/>
    <w:multiLevelType w:val="hybridMultilevel"/>
    <w:tmpl w:val="081A0D18"/>
    <w:lvl w:ilvl="0" w:tplc="1E44863C">
      <w:start w:val="1"/>
      <w:numFmt w:val="bullet"/>
      <w:lvlText w:val=""/>
      <w:lvlJc w:val="left"/>
      <w:pPr>
        <w:ind w:left="360" w:hanging="360"/>
      </w:pPr>
      <w:rPr>
        <w:rFonts w:ascii="Wingdings" w:hAnsi="Wingdings" w:hint="default"/>
        <w:color w:val="0093D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A0F08C5"/>
    <w:multiLevelType w:val="hybridMultilevel"/>
    <w:tmpl w:val="28F21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372AF4"/>
    <w:multiLevelType w:val="hybridMultilevel"/>
    <w:tmpl w:val="3D30C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7C0A13"/>
    <w:multiLevelType w:val="hybridMultilevel"/>
    <w:tmpl w:val="E4FC26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3569DC"/>
    <w:multiLevelType w:val="hybridMultilevel"/>
    <w:tmpl w:val="D5EA2370"/>
    <w:lvl w:ilvl="0" w:tplc="0C090017">
      <w:start w:val="1"/>
      <w:numFmt w:val="lowerLetter"/>
      <w:lvlText w:val="%1)"/>
      <w:lvlJc w:val="left"/>
      <w:pPr>
        <w:ind w:left="787" w:hanging="360"/>
      </w:pPr>
    </w:lvl>
    <w:lvl w:ilvl="1" w:tplc="0C090019" w:tentative="1">
      <w:start w:val="1"/>
      <w:numFmt w:val="lowerLetter"/>
      <w:lvlText w:val="%2."/>
      <w:lvlJc w:val="left"/>
      <w:pPr>
        <w:ind w:left="1507" w:hanging="360"/>
      </w:pPr>
    </w:lvl>
    <w:lvl w:ilvl="2" w:tplc="0C09001B" w:tentative="1">
      <w:start w:val="1"/>
      <w:numFmt w:val="lowerRoman"/>
      <w:lvlText w:val="%3."/>
      <w:lvlJc w:val="right"/>
      <w:pPr>
        <w:ind w:left="2227" w:hanging="180"/>
      </w:pPr>
    </w:lvl>
    <w:lvl w:ilvl="3" w:tplc="0C09000F" w:tentative="1">
      <w:start w:val="1"/>
      <w:numFmt w:val="decimal"/>
      <w:lvlText w:val="%4."/>
      <w:lvlJc w:val="left"/>
      <w:pPr>
        <w:ind w:left="2947" w:hanging="360"/>
      </w:pPr>
    </w:lvl>
    <w:lvl w:ilvl="4" w:tplc="0C090019" w:tentative="1">
      <w:start w:val="1"/>
      <w:numFmt w:val="lowerLetter"/>
      <w:lvlText w:val="%5."/>
      <w:lvlJc w:val="left"/>
      <w:pPr>
        <w:ind w:left="3667" w:hanging="360"/>
      </w:pPr>
    </w:lvl>
    <w:lvl w:ilvl="5" w:tplc="0C09001B" w:tentative="1">
      <w:start w:val="1"/>
      <w:numFmt w:val="lowerRoman"/>
      <w:lvlText w:val="%6."/>
      <w:lvlJc w:val="right"/>
      <w:pPr>
        <w:ind w:left="4387" w:hanging="180"/>
      </w:pPr>
    </w:lvl>
    <w:lvl w:ilvl="6" w:tplc="0C09000F" w:tentative="1">
      <w:start w:val="1"/>
      <w:numFmt w:val="decimal"/>
      <w:lvlText w:val="%7."/>
      <w:lvlJc w:val="left"/>
      <w:pPr>
        <w:ind w:left="5107" w:hanging="360"/>
      </w:pPr>
    </w:lvl>
    <w:lvl w:ilvl="7" w:tplc="0C090019" w:tentative="1">
      <w:start w:val="1"/>
      <w:numFmt w:val="lowerLetter"/>
      <w:lvlText w:val="%8."/>
      <w:lvlJc w:val="left"/>
      <w:pPr>
        <w:ind w:left="5827" w:hanging="360"/>
      </w:pPr>
    </w:lvl>
    <w:lvl w:ilvl="8" w:tplc="0C09001B" w:tentative="1">
      <w:start w:val="1"/>
      <w:numFmt w:val="lowerRoman"/>
      <w:lvlText w:val="%9."/>
      <w:lvlJc w:val="right"/>
      <w:pPr>
        <w:ind w:left="6547" w:hanging="180"/>
      </w:pPr>
    </w:lvl>
  </w:abstractNum>
  <w:abstractNum w:abstractNumId="8" w15:restartNumberingAfterBreak="0">
    <w:nsid w:val="14BA50F2"/>
    <w:multiLevelType w:val="hybridMultilevel"/>
    <w:tmpl w:val="FDB2231C"/>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73DC4E0A">
      <w:start w:val="1"/>
      <w:numFmt w:val="lowerLetter"/>
      <w:lvlText w:val="%3."/>
      <w:lvlJc w:val="right"/>
      <w:pPr>
        <w:ind w:left="2160" w:hanging="180"/>
      </w:pPr>
      <w:rPr>
        <w:rFonts w:ascii="Arial" w:eastAsia="Times New Roman" w:hAnsi="Arial" w:cs="Arial"/>
      </w:rPr>
    </w:lvl>
    <w:lvl w:ilvl="3" w:tplc="54C6C860">
      <w:start w:val="2"/>
      <w:numFmt w:val="lowerRoman"/>
      <w:lvlText w:val="%4)"/>
      <w:lvlJc w:val="left"/>
      <w:pPr>
        <w:ind w:left="3240" w:hanging="72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4BD399D"/>
    <w:multiLevelType w:val="hybridMultilevel"/>
    <w:tmpl w:val="110C6E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BC64362"/>
    <w:multiLevelType w:val="hybridMultilevel"/>
    <w:tmpl w:val="AE6A94A0"/>
    <w:lvl w:ilvl="0" w:tplc="371C758C">
      <w:start w:val="1"/>
      <w:numFmt w:val="decimal"/>
      <w:pStyle w:val="List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E653989"/>
    <w:multiLevelType w:val="hybridMultilevel"/>
    <w:tmpl w:val="EA80B7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7B0F87"/>
    <w:multiLevelType w:val="hybridMultilevel"/>
    <w:tmpl w:val="446062F8"/>
    <w:lvl w:ilvl="0" w:tplc="D4F209A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9536BA"/>
    <w:multiLevelType w:val="hybridMultilevel"/>
    <w:tmpl w:val="9A7C13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5FF5277"/>
    <w:multiLevelType w:val="hybridMultilevel"/>
    <w:tmpl w:val="E2B02C62"/>
    <w:lvl w:ilvl="0" w:tplc="64D0EF10">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8934A6B"/>
    <w:multiLevelType w:val="multilevel"/>
    <w:tmpl w:val="8034DBC8"/>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16" w15:restartNumberingAfterBreak="0">
    <w:nsid w:val="29EA31D4"/>
    <w:multiLevelType w:val="hybridMultilevel"/>
    <w:tmpl w:val="AE2A2688"/>
    <w:lvl w:ilvl="0" w:tplc="44EEDB4C">
      <w:start w:val="1"/>
      <w:numFmt w:val="bullet"/>
      <w:lvlText w:val="-"/>
      <w:lvlJc w:val="left"/>
      <w:pPr>
        <w:ind w:left="720" w:hanging="360"/>
      </w:pPr>
      <w:rPr>
        <w:rFonts w:ascii="Arial" w:eastAsiaTheme="minorEastAsia"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EB053BD"/>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EBE773C"/>
    <w:multiLevelType w:val="hybridMultilevel"/>
    <w:tmpl w:val="0EE24B8E"/>
    <w:lvl w:ilvl="0" w:tplc="0C090017">
      <w:start w:val="1"/>
      <w:numFmt w:val="lowerLetter"/>
      <w:lvlText w:val="%1)"/>
      <w:lvlJc w:val="left"/>
      <w:pPr>
        <w:ind w:left="787" w:hanging="360"/>
      </w:pPr>
    </w:lvl>
    <w:lvl w:ilvl="1" w:tplc="0C090019" w:tentative="1">
      <w:start w:val="1"/>
      <w:numFmt w:val="lowerLetter"/>
      <w:lvlText w:val="%2."/>
      <w:lvlJc w:val="left"/>
      <w:pPr>
        <w:ind w:left="1507" w:hanging="360"/>
      </w:pPr>
    </w:lvl>
    <w:lvl w:ilvl="2" w:tplc="0C09001B" w:tentative="1">
      <w:start w:val="1"/>
      <w:numFmt w:val="lowerRoman"/>
      <w:lvlText w:val="%3."/>
      <w:lvlJc w:val="right"/>
      <w:pPr>
        <w:ind w:left="2227" w:hanging="180"/>
      </w:pPr>
    </w:lvl>
    <w:lvl w:ilvl="3" w:tplc="0C09000F" w:tentative="1">
      <w:start w:val="1"/>
      <w:numFmt w:val="decimal"/>
      <w:lvlText w:val="%4."/>
      <w:lvlJc w:val="left"/>
      <w:pPr>
        <w:ind w:left="2947" w:hanging="360"/>
      </w:pPr>
    </w:lvl>
    <w:lvl w:ilvl="4" w:tplc="0C090019" w:tentative="1">
      <w:start w:val="1"/>
      <w:numFmt w:val="lowerLetter"/>
      <w:lvlText w:val="%5."/>
      <w:lvlJc w:val="left"/>
      <w:pPr>
        <w:ind w:left="3667" w:hanging="360"/>
      </w:pPr>
    </w:lvl>
    <w:lvl w:ilvl="5" w:tplc="0C09001B" w:tentative="1">
      <w:start w:val="1"/>
      <w:numFmt w:val="lowerRoman"/>
      <w:lvlText w:val="%6."/>
      <w:lvlJc w:val="right"/>
      <w:pPr>
        <w:ind w:left="4387" w:hanging="180"/>
      </w:pPr>
    </w:lvl>
    <w:lvl w:ilvl="6" w:tplc="0C09000F" w:tentative="1">
      <w:start w:val="1"/>
      <w:numFmt w:val="decimal"/>
      <w:lvlText w:val="%7."/>
      <w:lvlJc w:val="left"/>
      <w:pPr>
        <w:ind w:left="5107" w:hanging="360"/>
      </w:pPr>
    </w:lvl>
    <w:lvl w:ilvl="7" w:tplc="0C090019" w:tentative="1">
      <w:start w:val="1"/>
      <w:numFmt w:val="lowerLetter"/>
      <w:lvlText w:val="%8."/>
      <w:lvlJc w:val="left"/>
      <w:pPr>
        <w:ind w:left="5827" w:hanging="360"/>
      </w:pPr>
    </w:lvl>
    <w:lvl w:ilvl="8" w:tplc="0C09001B" w:tentative="1">
      <w:start w:val="1"/>
      <w:numFmt w:val="lowerRoman"/>
      <w:lvlText w:val="%9."/>
      <w:lvlJc w:val="right"/>
      <w:pPr>
        <w:ind w:left="6547" w:hanging="180"/>
      </w:pPr>
    </w:lvl>
  </w:abstractNum>
  <w:abstractNum w:abstractNumId="19" w15:restartNumberingAfterBreak="0">
    <w:nsid w:val="2FB32ADA"/>
    <w:multiLevelType w:val="hybridMultilevel"/>
    <w:tmpl w:val="62E0BA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6B56FF9"/>
    <w:multiLevelType w:val="hybridMultilevel"/>
    <w:tmpl w:val="245A109A"/>
    <w:lvl w:ilvl="0" w:tplc="0C09000F">
      <w:start w:val="1"/>
      <w:numFmt w:val="decimal"/>
      <w:lvlText w:val="%1."/>
      <w:lvlJc w:val="left"/>
      <w:pPr>
        <w:ind w:left="644" w:hanging="360"/>
      </w:pPr>
      <w:rPr>
        <w:rFonts w:hint="default"/>
      </w:r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4E9E6F64">
      <w:start w:val="1"/>
      <w:numFmt w:val="lowerLetter"/>
      <w:lvlText w:val="%5."/>
      <w:lvlJc w:val="left"/>
      <w:pPr>
        <w:ind w:left="3240" w:hanging="360"/>
      </w:pPr>
      <w:rPr>
        <w:rFonts w:hint="default"/>
      </w:r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86837C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91F18BE"/>
    <w:multiLevelType w:val="hybridMultilevel"/>
    <w:tmpl w:val="E10E7750"/>
    <w:lvl w:ilvl="0" w:tplc="A5B6AC2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AA17438"/>
    <w:multiLevelType w:val="hybridMultilevel"/>
    <w:tmpl w:val="07CA273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AE75CB7"/>
    <w:multiLevelType w:val="hybridMultilevel"/>
    <w:tmpl w:val="62CCC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3CC24AC"/>
    <w:multiLevelType w:val="hybridMultilevel"/>
    <w:tmpl w:val="0DDAC06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7802ED0"/>
    <w:multiLevelType w:val="hybridMultilevel"/>
    <w:tmpl w:val="BF84A1A4"/>
    <w:lvl w:ilvl="0" w:tplc="8E783BA0">
      <w:start w:val="1"/>
      <w:numFmt w:val="lowerLetter"/>
      <w:lvlText w:val="%1)"/>
      <w:lvlJc w:val="left"/>
      <w:pPr>
        <w:ind w:left="427" w:hanging="360"/>
      </w:pPr>
      <w:rPr>
        <w:rFonts w:hint="default"/>
      </w:rPr>
    </w:lvl>
    <w:lvl w:ilvl="1" w:tplc="0C090019" w:tentative="1">
      <w:start w:val="1"/>
      <w:numFmt w:val="lowerLetter"/>
      <w:lvlText w:val="%2."/>
      <w:lvlJc w:val="left"/>
      <w:pPr>
        <w:ind w:left="1147" w:hanging="360"/>
      </w:pPr>
    </w:lvl>
    <w:lvl w:ilvl="2" w:tplc="0C09001B" w:tentative="1">
      <w:start w:val="1"/>
      <w:numFmt w:val="lowerRoman"/>
      <w:lvlText w:val="%3."/>
      <w:lvlJc w:val="right"/>
      <w:pPr>
        <w:ind w:left="1867" w:hanging="180"/>
      </w:pPr>
    </w:lvl>
    <w:lvl w:ilvl="3" w:tplc="0C09000F" w:tentative="1">
      <w:start w:val="1"/>
      <w:numFmt w:val="decimal"/>
      <w:lvlText w:val="%4."/>
      <w:lvlJc w:val="left"/>
      <w:pPr>
        <w:ind w:left="2587" w:hanging="360"/>
      </w:pPr>
    </w:lvl>
    <w:lvl w:ilvl="4" w:tplc="0C090019" w:tentative="1">
      <w:start w:val="1"/>
      <w:numFmt w:val="lowerLetter"/>
      <w:lvlText w:val="%5."/>
      <w:lvlJc w:val="left"/>
      <w:pPr>
        <w:ind w:left="3307" w:hanging="360"/>
      </w:pPr>
    </w:lvl>
    <w:lvl w:ilvl="5" w:tplc="0C09001B" w:tentative="1">
      <w:start w:val="1"/>
      <w:numFmt w:val="lowerRoman"/>
      <w:lvlText w:val="%6."/>
      <w:lvlJc w:val="right"/>
      <w:pPr>
        <w:ind w:left="4027" w:hanging="180"/>
      </w:pPr>
    </w:lvl>
    <w:lvl w:ilvl="6" w:tplc="0C09000F" w:tentative="1">
      <w:start w:val="1"/>
      <w:numFmt w:val="decimal"/>
      <w:lvlText w:val="%7."/>
      <w:lvlJc w:val="left"/>
      <w:pPr>
        <w:ind w:left="4747" w:hanging="360"/>
      </w:pPr>
    </w:lvl>
    <w:lvl w:ilvl="7" w:tplc="0C090019" w:tentative="1">
      <w:start w:val="1"/>
      <w:numFmt w:val="lowerLetter"/>
      <w:lvlText w:val="%8."/>
      <w:lvlJc w:val="left"/>
      <w:pPr>
        <w:ind w:left="5467" w:hanging="360"/>
      </w:pPr>
    </w:lvl>
    <w:lvl w:ilvl="8" w:tplc="0C09001B" w:tentative="1">
      <w:start w:val="1"/>
      <w:numFmt w:val="lowerRoman"/>
      <w:lvlText w:val="%9."/>
      <w:lvlJc w:val="right"/>
      <w:pPr>
        <w:ind w:left="6187" w:hanging="180"/>
      </w:pPr>
    </w:lvl>
  </w:abstractNum>
  <w:abstractNum w:abstractNumId="28" w15:restartNumberingAfterBreak="0">
    <w:nsid w:val="4967440B"/>
    <w:multiLevelType w:val="hybridMultilevel"/>
    <w:tmpl w:val="16A2B9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B430BB4"/>
    <w:multiLevelType w:val="hybridMultilevel"/>
    <w:tmpl w:val="459E1B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F3739E0"/>
    <w:multiLevelType w:val="hybridMultilevel"/>
    <w:tmpl w:val="2FD45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19F78F1"/>
    <w:multiLevelType w:val="hybridMultilevel"/>
    <w:tmpl w:val="F2040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21077EA"/>
    <w:multiLevelType w:val="hybridMultilevel"/>
    <w:tmpl w:val="363E4DEC"/>
    <w:lvl w:ilvl="0" w:tplc="D4F209A6">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3053A04"/>
    <w:multiLevelType w:val="hybridMultilevel"/>
    <w:tmpl w:val="D408F7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0B13AB8"/>
    <w:multiLevelType w:val="hybridMultilevel"/>
    <w:tmpl w:val="EF58A366"/>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5" w15:restartNumberingAfterBreak="0">
    <w:nsid w:val="63353F79"/>
    <w:multiLevelType w:val="hybridMultilevel"/>
    <w:tmpl w:val="66880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37A15D8"/>
    <w:multiLevelType w:val="hybridMultilevel"/>
    <w:tmpl w:val="37CAAC7C"/>
    <w:lvl w:ilvl="0" w:tplc="3AF65F3E">
      <w:start w:val="2"/>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7E6484"/>
    <w:multiLevelType w:val="hybridMultilevel"/>
    <w:tmpl w:val="D624DA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C1A6051"/>
    <w:multiLevelType w:val="hybridMultilevel"/>
    <w:tmpl w:val="B2CA6590"/>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39" w15:restartNumberingAfterBreak="0">
    <w:nsid w:val="6C235AB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C596E20"/>
    <w:multiLevelType w:val="hybridMultilevel"/>
    <w:tmpl w:val="168EAB4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2394531"/>
    <w:multiLevelType w:val="multilevel"/>
    <w:tmpl w:val="760E5BA4"/>
    <w:lvl w:ilvl="0">
      <w:start w:val="1"/>
      <w:numFmt w:val="none"/>
      <w:suff w:val="nothing"/>
      <w:lvlText w:val=""/>
      <w:lvlJc w:val="left"/>
      <w:pPr>
        <w:ind w:left="0" w:firstLine="0"/>
      </w:pPr>
      <w:rPr>
        <w:b w:val="0"/>
        <w:i w:val="0"/>
        <w:sz w:val="24"/>
      </w:rPr>
    </w:lvl>
    <w:lvl w:ilvl="1">
      <w:start w:val="1"/>
      <w:numFmt w:val="decimal"/>
      <w:pStyle w:val="NDISPart"/>
      <w:lvlText w:val="Part %2"/>
      <w:lvlJc w:val="left"/>
      <w:pPr>
        <w:tabs>
          <w:tab w:val="num" w:pos="1134"/>
        </w:tabs>
        <w:ind w:left="1134" w:hanging="1134"/>
      </w:pPr>
      <w:rPr>
        <w:rFonts w:ascii="Arial Bold" w:hAnsi="Arial Bold" w:hint="default"/>
        <w:b/>
        <w:i w:val="0"/>
        <w:iCs w:val="0"/>
        <w:caps w:val="0"/>
        <w:strike w:val="0"/>
        <w:dstrike w:val="0"/>
        <w:outline w:val="0"/>
        <w:shadow w:val="0"/>
        <w:emboss w:val="0"/>
        <w:imprint w:val="0"/>
        <w:vanish w:val="0"/>
        <w:webHidden w:val="0"/>
        <w:spacing w:val="0"/>
        <w:kern w:val="0"/>
        <w:position w:val="0"/>
        <w:sz w:val="32"/>
        <w:u w:val="none"/>
        <w:effect w:val="none"/>
        <w:vertAlign w:val="baseline"/>
        <w:em w:val="none"/>
        <w:specVanish w:val="0"/>
      </w:rPr>
    </w:lvl>
    <w:lvl w:ilvl="2">
      <w:start w:val="1"/>
      <w:numFmt w:val="decimal"/>
      <w:pStyle w:val="NDISDivision"/>
      <w:lvlText w:val="Division %3"/>
      <w:lvlJc w:val="left"/>
      <w:pPr>
        <w:tabs>
          <w:tab w:val="num" w:pos="1134"/>
        </w:tabs>
        <w:ind w:left="1134" w:hanging="1134"/>
      </w:pPr>
      <w:rPr>
        <w:rFonts w:ascii="Arial Bold" w:hAnsi="Arial Bold" w:hint="default"/>
        <w:b/>
        <w:i w:val="0"/>
        <w:sz w:val="28"/>
      </w:rPr>
    </w:lvl>
    <w:lvl w:ilvl="3">
      <w:start w:val="1"/>
      <w:numFmt w:val="upperLetter"/>
      <w:lvlRestart w:val="2"/>
      <w:pStyle w:val="NDISSubdivision"/>
      <w:lvlText w:val="Subdivision %4"/>
      <w:lvlJc w:val="left"/>
      <w:pPr>
        <w:tabs>
          <w:tab w:val="num" w:pos="1701"/>
        </w:tabs>
        <w:ind w:left="1701" w:hanging="1701"/>
      </w:pPr>
      <w:rPr>
        <w:rFonts w:ascii="Arial Bold" w:hAnsi="Arial Bold" w:hint="default"/>
        <w:b/>
        <w:i w:val="0"/>
        <w:sz w:val="26"/>
      </w:rPr>
    </w:lvl>
    <w:lvl w:ilvl="4">
      <w:start w:val="1"/>
      <w:numFmt w:val="decimal"/>
      <w:lvlRestart w:val="2"/>
      <w:pStyle w:val="NDISSubsection"/>
      <w:lvlText w:val="%2.%5"/>
      <w:lvlJc w:val="left"/>
      <w:pPr>
        <w:tabs>
          <w:tab w:val="num" w:pos="567"/>
        </w:tabs>
        <w:ind w:left="567" w:hanging="567"/>
      </w:pPr>
      <w:rPr>
        <w:rFonts w:ascii="Arial" w:hAnsi="Arial" w:cs="Times New Roman" w:hint="default"/>
        <w:b w:val="0"/>
        <w:i w:val="0"/>
        <w:sz w:val="22"/>
      </w:rPr>
    </w:lvl>
    <w:lvl w:ilvl="5">
      <w:start w:val="1"/>
      <w:numFmt w:val="decimal"/>
      <w:pStyle w:val="NDISParagraph"/>
      <w:lvlText w:val="%6."/>
      <w:lvlJc w:val="left"/>
      <w:pPr>
        <w:tabs>
          <w:tab w:val="num" w:pos="1134"/>
        </w:tabs>
        <w:ind w:left="1134" w:hanging="567"/>
      </w:pPr>
      <w:rPr>
        <w:rFonts w:ascii="Arial" w:eastAsia="Times New Roman" w:hAnsi="Arial" w:cs="Arial"/>
        <w:b w:val="0"/>
        <w:sz w:val="22"/>
        <w:szCs w:val="22"/>
      </w:rPr>
    </w:lvl>
    <w:lvl w:ilvl="6">
      <w:start w:val="1"/>
      <w:numFmt w:val="lowerRoman"/>
      <w:pStyle w:val="NDISSubparagraph"/>
      <w:lvlText w:val="(%7)"/>
      <w:lvlJc w:val="left"/>
      <w:pPr>
        <w:tabs>
          <w:tab w:val="num" w:pos="1701"/>
        </w:tabs>
        <w:ind w:left="1701" w:hanging="567"/>
      </w:pPr>
      <w:rPr>
        <w:rFonts w:ascii="Arial" w:hAnsi="Arial" w:cs="Times New Roman" w:hint="default"/>
        <w:b w:val="0"/>
        <w:i w:val="0"/>
        <w:sz w:val="22"/>
      </w:rPr>
    </w:lvl>
    <w:lvl w:ilvl="7">
      <w:start w:val="1"/>
      <w:numFmt w:val="upperLetter"/>
      <w:pStyle w:val="NDISSubsubparagraph"/>
      <w:lvlText w:val="(%8)"/>
      <w:lvlJc w:val="left"/>
      <w:pPr>
        <w:tabs>
          <w:tab w:val="num" w:pos="2268"/>
        </w:tabs>
        <w:ind w:left="2268" w:hanging="567"/>
      </w:pPr>
      <w:rPr>
        <w:rFonts w:ascii="Arial" w:hAnsi="Arial" w:cs="Times New Roman" w:hint="default"/>
        <w:b w:val="0"/>
        <w:i w:val="0"/>
        <w:sz w:val="22"/>
      </w:rPr>
    </w:lvl>
    <w:lvl w:ilvl="8">
      <w:start w:val="1"/>
      <w:numFmt w:val="upperLetter"/>
      <w:lvlText w:val="(%9)"/>
      <w:lvlJc w:val="left"/>
      <w:pPr>
        <w:tabs>
          <w:tab w:val="num" w:pos="5955"/>
        </w:tabs>
        <w:ind w:left="5955" w:hanging="567"/>
      </w:pPr>
    </w:lvl>
  </w:abstractNum>
  <w:abstractNum w:abstractNumId="42" w15:restartNumberingAfterBreak="0">
    <w:nsid w:val="72F20D49"/>
    <w:multiLevelType w:val="hybridMultilevel"/>
    <w:tmpl w:val="BF7803F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5E0628E"/>
    <w:multiLevelType w:val="hybridMultilevel"/>
    <w:tmpl w:val="446062F8"/>
    <w:lvl w:ilvl="0" w:tplc="D4F209A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727687B"/>
    <w:multiLevelType w:val="hybridMultilevel"/>
    <w:tmpl w:val="F67EE1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A8B6A3B"/>
    <w:multiLevelType w:val="hybridMultilevel"/>
    <w:tmpl w:val="66B83A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D475EC0"/>
    <w:multiLevelType w:val="hybridMultilevel"/>
    <w:tmpl w:val="866A2A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4"/>
  </w:num>
  <w:num w:numId="2">
    <w:abstractNumId w:val="39"/>
  </w:num>
  <w:num w:numId="3">
    <w:abstractNumId w:val="16"/>
  </w:num>
  <w:num w:numId="4">
    <w:abstractNumId w:val="38"/>
  </w:num>
  <w:num w:numId="5">
    <w:abstractNumId w:val="19"/>
  </w:num>
  <w:num w:numId="6">
    <w:abstractNumId w:val="4"/>
  </w:num>
  <w:num w:numId="7">
    <w:abstractNumId w:val="5"/>
  </w:num>
  <w:num w:numId="8">
    <w:abstractNumId w:val="42"/>
  </w:num>
  <w:num w:numId="9">
    <w:abstractNumId w:val="0"/>
  </w:num>
  <w:num w:numId="10">
    <w:abstractNumId w:val="20"/>
  </w:num>
  <w:num w:numId="11">
    <w:abstractNumId w:val="3"/>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0"/>
  </w:num>
  <w:num w:numId="15">
    <w:abstractNumId w:val="35"/>
  </w:num>
  <w:num w:numId="16">
    <w:abstractNumId w:val="23"/>
  </w:num>
  <w:num w:numId="17">
    <w:abstractNumId w:val="30"/>
  </w:num>
  <w:num w:numId="18">
    <w:abstractNumId w:val="46"/>
  </w:num>
  <w:num w:numId="19">
    <w:abstractNumId w:val="7"/>
  </w:num>
  <w:num w:numId="20">
    <w:abstractNumId w:val="27"/>
  </w:num>
  <w:num w:numId="21">
    <w:abstractNumId w:val="18"/>
  </w:num>
  <w:num w:numId="22">
    <w:abstractNumId w:val="43"/>
  </w:num>
  <w:num w:numId="23">
    <w:abstractNumId w:val="24"/>
  </w:num>
  <w:num w:numId="24">
    <w:abstractNumId w:val="31"/>
  </w:num>
  <w:num w:numId="25">
    <w:abstractNumId w:val="36"/>
  </w:num>
  <w:num w:numId="26">
    <w:abstractNumId w:val="12"/>
  </w:num>
  <w:num w:numId="27">
    <w:abstractNumId w:val="17"/>
  </w:num>
  <w:num w:numId="28">
    <w:abstractNumId w:val="28"/>
  </w:num>
  <w:num w:numId="29">
    <w:abstractNumId w:val="32"/>
  </w:num>
  <w:num w:numId="30">
    <w:abstractNumId w:val="21"/>
  </w:num>
  <w:num w:numId="31">
    <w:abstractNumId w:val="41"/>
  </w:num>
  <w:num w:numId="32">
    <w:abstractNumId w:val="25"/>
  </w:num>
  <w:num w:numId="33">
    <w:abstractNumId w:val="6"/>
  </w:num>
  <w:num w:numId="34">
    <w:abstractNumId w:val="33"/>
  </w:num>
  <w:num w:numId="35">
    <w:abstractNumId w:val="9"/>
  </w:num>
  <w:num w:numId="36">
    <w:abstractNumId w:val="15"/>
  </w:num>
  <w:num w:numId="37">
    <w:abstractNumId w:val="1"/>
  </w:num>
  <w:num w:numId="38">
    <w:abstractNumId w:val="22"/>
  </w:num>
  <w:num w:numId="39">
    <w:abstractNumId w:val="34"/>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num>
  <w:num w:numId="46">
    <w:abstractNumId w:val="37"/>
  </w:num>
  <w:num w:numId="47">
    <w:abstractNumId w:val="26"/>
  </w:num>
  <w:num w:numId="48">
    <w:abstractNumId w:val="13"/>
  </w:num>
  <w:num w:numId="49">
    <w:abstractNumId w:val="40"/>
  </w:num>
  <w:num w:numId="50">
    <w:abstractNumId w:val="14"/>
  </w:num>
  <w:num w:numId="51">
    <w:abstractNumId w:val="8"/>
  </w:num>
  <w:num w:numId="52">
    <w:abstractNumId w:val="45"/>
  </w:num>
  <w:num w:numId="53">
    <w:abstractNumId w:val="11"/>
  </w:num>
  <w:num w:numId="54">
    <w:abstractNumId w:val="41"/>
  </w:num>
  <w:num w:numId="5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30E"/>
    <w:rsid w:val="00001608"/>
    <w:rsid w:val="00002933"/>
    <w:rsid w:val="000033ED"/>
    <w:rsid w:val="000066BD"/>
    <w:rsid w:val="000126D1"/>
    <w:rsid w:val="00012AE4"/>
    <w:rsid w:val="000147F2"/>
    <w:rsid w:val="00016A01"/>
    <w:rsid w:val="00016C73"/>
    <w:rsid w:val="000205F1"/>
    <w:rsid w:val="000211B8"/>
    <w:rsid w:val="00023336"/>
    <w:rsid w:val="00024079"/>
    <w:rsid w:val="00025841"/>
    <w:rsid w:val="00025ADC"/>
    <w:rsid w:val="00026907"/>
    <w:rsid w:val="00026BFA"/>
    <w:rsid w:val="00027FE7"/>
    <w:rsid w:val="00030DEC"/>
    <w:rsid w:val="000316EF"/>
    <w:rsid w:val="0003278E"/>
    <w:rsid w:val="00035621"/>
    <w:rsid w:val="00035791"/>
    <w:rsid w:val="00037304"/>
    <w:rsid w:val="000404F8"/>
    <w:rsid w:val="00041D1E"/>
    <w:rsid w:val="00042DD5"/>
    <w:rsid w:val="000430B1"/>
    <w:rsid w:val="00047DCF"/>
    <w:rsid w:val="000537CF"/>
    <w:rsid w:val="000548BD"/>
    <w:rsid w:val="000575D8"/>
    <w:rsid w:val="00061426"/>
    <w:rsid w:val="00061626"/>
    <w:rsid w:val="0006338F"/>
    <w:rsid w:val="00063D6F"/>
    <w:rsid w:val="00064599"/>
    <w:rsid w:val="00066065"/>
    <w:rsid w:val="0006638E"/>
    <w:rsid w:val="00071A3D"/>
    <w:rsid w:val="000721C5"/>
    <w:rsid w:val="000749F8"/>
    <w:rsid w:val="00074CB7"/>
    <w:rsid w:val="00076754"/>
    <w:rsid w:val="0007688B"/>
    <w:rsid w:val="0008032A"/>
    <w:rsid w:val="000839C3"/>
    <w:rsid w:val="00085692"/>
    <w:rsid w:val="00085A62"/>
    <w:rsid w:val="00085BAB"/>
    <w:rsid w:val="00085FE3"/>
    <w:rsid w:val="00086394"/>
    <w:rsid w:val="00090E24"/>
    <w:rsid w:val="00091F5B"/>
    <w:rsid w:val="000923E6"/>
    <w:rsid w:val="0009324C"/>
    <w:rsid w:val="00094F2D"/>
    <w:rsid w:val="00095AF8"/>
    <w:rsid w:val="0009698C"/>
    <w:rsid w:val="000A09F3"/>
    <w:rsid w:val="000A23FF"/>
    <w:rsid w:val="000A244B"/>
    <w:rsid w:val="000A25E5"/>
    <w:rsid w:val="000A2981"/>
    <w:rsid w:val="000A2FB2"/>
    <w:rsid w:val="000A35D4"/>
    <w:rsid w:val="000A3AAB"/>
    <w:rsid w:val="000A3FA8"/>
    <w:rsid w:val="000A7DD5"/>
    <w:rsid w:val="000B020D"/>
    <w:rsid w:val="000B1A94"/>
    <w:rsid w:val="000B3B60"/>
    <w:rsid w:val="000B4E58"/>
    <w:rsid w:val="000B5060"/>
    <w:rsid w:val="000B7A9B"/>
    <w:rsid w:val="000C0C1D"/>
    <w:rsid w:val="000C1007"/>
    <w:rsid w:val="000C42FC"/>
    <w:rsid w:val="000C56BF"/>
    <w:rsid w:val="000C65C8"/>
    <w:rsid w:val="000C6E0C"/>
    <w:rsid w:val="000C76CF"/>
    <w:rsid w:val="000D0576"/>
    <w:rsid w:val="000D0A66"/>
    <w:rsid w:val="000D1D63"/>
    <w:rsid w:val="000D1DF2"/>
    <w:rsid w:val="000D404B"/>
    <w:rsid w:val="000D4290"/>
    <w:rsid w:val="000D42D9"/>
    <w:rsid w:val="000D547B"/>
    <w:rsid w:val="000D630E"/>
    <w:rsid w:val="000E045D"/>
    <w:rsid w:val="000E1051"/>
    <w:rsid w:val="000E1ADB"/>
    <w:rsid w:val="000E2E19"/>
    <w:rsid w:val="000E310F"/>
    <w:rsid w:val="000E4EE3"/>
    <w:rsid w:val="000E5595"/>
    <w:rsid w:val="000E68B6"/>
    <w:rsid w:val="000E719E"/>
    <w:rsid w:val="000E7310"/>
    <w:rsid w:val="000F07DC"/>
    <w:rsid w:val="000F1D09"/>
    <w:rsid w:val="000F1FCC"/>
    <w:rsid w:val="000F30C0"/>
    <w:rsid w:val="000F39C1"/>
    <w:rsid w:val="000F41F2"/>
    <w:rsid w:val="000F5127"/>
    <w:rsid w:val="000F5683"/>
    <w:rsid w:val="000F58E8"/>
    <w:rsid w:val="000F6206"/>
    <w:rsid w:val="000F6537"/>
    <w:rsid w:val="001000DE"/>
    <w:rsid w:val="00101F88"/>
    <w:rsid w:val="0010280D"/>
    <w:rsid w:val="001046BA"/>
    <w:rsid w:val="001051B0"/>
    <w:rsid w:val="0011179B"/>
    <w:rsid w:val="00113CE7"/>
    <w:rsid w:val="00113D69"/>
    <w:rsid w:val="00114382"/>
    <w:rsid w:val="00124848"/>
    <w:rsid w:val="00125DD5"/>
    <w:rsid w:val="001328F6"/>
    <w:rsid w:val="00133DD0"/>
    <w:rsid w:val="0013419A"/>
    <w:rsid w:val="00134398"/>
    <w:rsid w:val="00134DB8"/>
    <w:rsid w:val="00136691"/>
    <w:rsid w:val="001401C6"/>
    <w:rsid w:val="00141195"/>
    <w:rsid w:val="00142DC3"/>
    <w:rsid w:val="001434EB"/>
    <w:rsid w:val="00143A2D"/>
    <w:rsid w:val="00144044"/>
    <w:rsid w:val="001447FE"/>
    <w:rsid w:val="001454C9"/>
    <w:rsid w:val="00146219"/>
    <w:rsid w:val="00146E80"/>
    <w:rsid w:val="00147224"/>
    <w:rsid w:val="00150265"/>
    <w:rsid w:val="00152B27"/>
    <w:rsid w:val="001532E3"/>
    <w:rsid w:val="00153673"/>
    <w:rsid w:val="00153A9B"/>
    <w:rsid w:val="0015412F"/>
    <w:rsid w:val="001547CE"/>
    <w:rsid w:val="001550C3"/>
    <w:rsid w:val="0015574A"/>
    <w:rsid w:val="00155910"/>
    <w:rsid w:val="0015637B"/>
    <w:rsid w:val="0016145C"/>
    <w:rsid w:val="001621EB"/>
    <w:rsid w:val="00162D7F"/>
    <w:rsid w:val="00163A1A"/>
    <w:rsid w:val="00163CC5"/>
    <w:rsid w:val="00163E7E"/>
    <w:rsid w:val="001652A4"/>
    <w:rsid w:val="00165672"/>
    <w:rsid w:val="0016624E"/>
    <w:rsid w:val="001667D4"/>
    <w:rsid w:val="0016751D"/>
    <w:rsid w:val="001739E3"/>
    <w:rsid w:val="00174ED1"/>
    <w:rsid w:val="0017562B"/>
    <w:rsid w:val="0017697A"/>
    <w:rsid w:val="001828FB"/>
    <w:rsid w:val="00183FF5"/>
    <w:rsid w:val="00184724"/>
    <w:rsid w:val="001856E0"/>
    <w:rsid w:val="00186B4B"/>
    <w:rsid w:val="00190576"/>
    <w:rsid w:val="00192E12"/>
    <w:rsid w:val="0019715E"/>
    <w:rsid w:val="001A2CC2"/>
    <w:rsid w:val="001A5D97"/>
    <w:rsid w:val="001A6746"/>
    <w:rsid w:val="001A7ABB"/>
    <w:rsid w:val="001A7E82"/>
    <w:rsid w:val="001B13BB"/>
    <w:rsid w:val="001B1850"/>
    <w:rsid w:val="001B1CBA"/>
    <w:rsid w:val="001B1F48"/>
    <w:rsid w:val="001B2F80"/>
    <w:rsid w:val="001B6AE1"/>
    <w:rsid w:val="001B6CA5"/>
    <w:rsid w:val="001B7D38"/>
    <w:rsid w:val="001C2938"/>
    <w:rsid w:val="001C31D6"/>
    <w:rsid w:val="001C38D5"/>
    <w:rsid w:val="001C3DAB"/>
    <w:rsid w:val="001C4A29"/>
    <w:rsid w:val="001C4E6B"/>
    <w:rsid w:val="001C4E84"/>
    <w:rsid w:val="001C4FC4"/>
    <w:rsid w:val="001C5425"/>
    <w:rsid w:val="001C5511"/>
    <w:rsid w:val="001C5958"/>
    <w:rsid w:val="001C5EB8"/>
    <w:rsid w:val="001C63AB"/>
    <w:rsid w:val="001C6F77"/>
    <w:rsid w:val="001C7EC5"/>
    <w:rsid w:val="001D114B"/>
    <w:rsid w:val="001D1386"/>
    <w:rsid w:val="001D27AC"/>
    <w:rsid w:val="001D2F4F"/>
    <w:rsid w:val="001D38F0"/>
    <w:rsid w:val="001D3FA8"/>
    <w:rsid w:val="001D4DE9"/>
    <w:rsid w:val="001D588D"/>
    <w:rsid w:val="001D5FEC"/>
    <w:rsid w:val="001D7784"/>
    <w:rsid w:val="001E20E2"/>
    <w:rsid w:val="001E2571"/>
    <w:rsid w:val="001E2FC0"/>
    <w:rsid w:val="001E4BDE"/>
    <w:rsid w:val="001E630D"/>
    <w:rsid w:val="001E7606"/>
    <w:rsid w:val="001F153A"/>
    <w:rsid w:val="001F6E1D"/>
    <w:rsid w:val="001F72E2"/>
    <w:rsid w:val="001F7B57"/>
    <w:rsid w:val="00201B50"/>
    <w:rsid w:val="002047A5"/>
    <w:rsid w:val="00205405"/>
    <w:rsid w:val="00207EDE"/>
    <w:rsid w:val="002118DD"/>
    <w:rsid w:val="002133E3"/>
    <w:rsid w:val="00214064"/>
    <w:rsid w:val="002155CD"/>
    <w:rsid w:val="0021774C"/>
    <w:rsid w:val="0022001A"/>
    <w:rsid w:val="00220263"/>
    <w:rsid w:val="002213E2"/>
    <w:rsid w:val="002216AE"/>
    <w:rsid w:val="00221A7F"/>
    <w:rsid w:val="00221ED8"/>
    <w:rsid w:val="00222429"/>
    <w:rsid w:val="002230EE"/>
    <w:rsid w:val="00224085"/>
    <w:rsid w:val="00224217"/>
    <w:rsid w:val="00224B53"/>
    <w:rsid w:val="00226E77"/>
    <w:rsid w:val="00231044"/>
    <w:rsid w:val="002317C3"/>
    <w:rsid w:val="00231CCA"/>
    <w:rsid w:val="00231D99"/>
    <w:rsid w:val="00231FFA"/>
    <w:rsid w:val="00232FDE"/>
    <w:rsid w:val="00233B30"/>
    <w:rsid w:val="00234C54"/>
    <w:rsid w:val="00235A0D"/>
    <w:rsid w:val="00235AEF"/>
    <w:rsid w:val="00235C8D"/>
    <w:rsid w:val="0023600F"/>
    <w:rsid w:val="0023615C"/>
    <w:rsid w:val="00236217"/>
    <w:rsid w:val="0023663E"/>
    <w:rsid w:val="00240282"/>
    <w:rsid w:val="00240B80"/>
    <w:rsid w:val="00240E87"/>
    <w:rsid w:val="002416FB"/>
    <w:rsid w:val="00241B80"/>
    <w:rsid w:val="002443D5"/>
    <w:rsid w:val="002445AA"/>
    <w:rsid w:val="00245F9D"/>
    <w:rsid w:val="00247A77"/>
    <w:rsid w:val="00247B82"/>
    <w:rsid w:val="00247C38"/>
    <w:rsid w:val="00250C53"/>
    <w:rsid w:val="0025109F"/>
    <w:rsid w:val="00251F5D"/>
    <w:rsid w:val="00252911"/>
    <w:rsid w:val="002546C1"/>
    <w:rsid w:val="002569DA"/>
    <w:rsid w:val="002569DC"/>
    <w:rsid w:val="00257904"/>
    <w:rsid w:val="00257B80"/>
    <w:rsid w:val="00257BE7"/>
    <w:rsid w:val="00257CDA"/>
    <w:rsid w:val="00260B3B"/>
    <w:rsid w:val="0026123D"/>
    <w:rsid w:val="00261B5C"/>
    <w:rsid w:val="0026281A"/>
    <w:rsid w:val="00263ABC"/>
    <w:rsid w:val="0026417F"/>
    <w:rsid w:val="00264354"/>
    <w:rsid w:val="002665E0"/>
    <w:rsid w:val="002668BA"/>
    <w:rsid w:val="00266A5D"/>
    <w:rsid w:val="00267134"/>
    <w:rsid w:val="002674F2"/>
    <w:rsid w:val="002675A3"/>
    <w:rsid w:val="002679FC"/>
    <w:rsid w:val="00270277"/>
    <w:rsid w:val="002717B2"/>
    <w:rsid w:val="00272D8E"/>
    <w:rsid w:val="00273491"/>
    <w:rsid w:val="0027381F"/>
    <w:rsid w:val="00275080"/>
    <w:rsid w:val="00276989"/>
    <w:rsid w:val="00277C23"/>
    <w:rsid w:val="00277E99"/>
    <w:rsid w:val="00280051"/>
    <w:rsid w:val="00280E55"/>
    <w:rsid w:val="0028147A"/>
    <w:rsid w:val="00284B20"/>
    <w:rsid w:val="00285859"/>
    <w:rsid w:val="00286E78"/>
    <w:rsid w:val="0029371F"/>
    <w:rsid w:val="00295320"/>
    <w:rsid w:val="00297E8E"/>
    <w:rsid w:val="002A0EC4"/>
    <w:rsid w:val="002A1553"/>
    <w:rsid w:val="002A338B"/>
    <w:rsid w:val="002A3B2C"/>
    <w:rsid w:val="002A4489"/>
    <w:rsid w:val="002A48BD"/>
    <w:rsid w:val="002A4A3D"/>
    <w:rsid w:val="002A5D26"/>
    <w:rsid w:val="002B1C7D"/>
    <w:rsid w:val="002B1D22"/>
    <w:rsid w:val="002B3182"/>
    <w:rsid w:val="002B5B14"/>
    <w:rsid w:val="002B5E02"/>
    <w:rsid w:val="002B631F"/>
    <w:rsid w:val="002C03F7"/>
    <w:rsid w:val="002C1265"/>
    <w:rsid w:val="002C34B7"/>
    <w:rsid w:val="002C562F"/>
    <w:rsid w:val="002C59FD"/>
    <w:rsid w:val="002C639E"/>
    <w:rsid w:val="002C7ED9"/>
    <w:rsid w:val="002D2A5F"/>
    <w:rsid w:val="002D3607"/>
    <w:rsid w:val="002D5FB8"/>
    <w:rsid w:val="002D66EB"/>
    <w:rsid w:val="002D6CCC"/>
    <w:rsid w:val="002D71DD"/>
    <w:rsid w:val="002D71F1"/>
    <w:rsid w:val="002D7A2D"/>
    <w:rsid w:val="002E0E6B"/>
    <w:rsid w:val="002E1B47"/>
    <w:rsid w:val="002E2588"/>
    <w:rsid w:val="002E4AAF"/>
    <w:rsid w:val="002E615C"/>
    <w:rsid w:val="002E62F8"/>
    <w:rsid w:val="002E7D98"/>
    <w:rsid w:val="002F0AF1"/>
    <w:rsid w:val="002F0D35"/>
    <w:rsid w:val="002F1EDD"/>
    <w:rsid w:val="002F2F7C"/>
    <w:rsid w:val="003002FE"/>
    <w:rsid w:val="00301DF3"/>
    <w:rsid w:val="00303367"/>
    <w:rsid w:val="0030378D"/>
    <w:rsid w:val="0030399B"/>
    <w:rsid w:val="0030456A"/>
    <w:rsid w:val="0030487E"/>
    <w:rsid w:val="00305E0C"/>
    <w:rsid w:val="003068D4"/>
    <w:rsid w:val="00310938"/>
    <w:rsid w:val="00313CB1"/>
    <w:rsid w:val="003160E2"/>
    <w:rsid w:val="00316210"/>
    <w:rsid w:val="00316AB2"/>
    <w:rsid w:val="00317C2E"/>
    <w:rsid w:val="00317D40"/>
    <w:rsid w:val="0032246B"/>
    <w:rsid w:val="00322641"/>
    <w:rsid w:val="003253AA"/>
    <w:rsid w:val="00325F62"/>
    <w:rsid w:val="003273F9"/>
    <w:rsid w:val="00331E3B"/>
    <w:rsid w:val="0033256F"/>
    <w:rsid w:val="0033372B"/>
    <w:rsid w:val="00336FFE"/>
    <w:rsid w:val="00340C00"/>
    <w:rsid w:val="003427E4"/>
    <w:rsid w:val="00343439"/>
    <w:rsid w:val="00343738"/>
    <w:rsid w:val="00343BEC"/>
    <w:rsid w:val="003444E2"/>
    <w:rsid w:val="00345518"/>
    <w:rsid w:val="00345DC3"/>
    <w:rsid w:val="00346CDB"/>
    <w:rsid w:val="00347420"/>
    <w:rsid w:val="0035036B"/>
    <w:rsid w:val="003512D2"/>
    <w:rsid w:val="003515DD"/>
    <w:rsid w:val="003557E2"/>
    <w:rsid w:val="00356069"/>
    <w:rsid w:val="00356B89"/>
    <w:rsid w:val="003571A9"/>
    <w:rsid w:val="00360651"/>
    <w:rsid w:val="00362F42"/>
    <w:rsid w:val="0036446D"/>
    <w:rsid w:val="003649E8"/>
    <w:rsid w:val="00365248"/>
    <w:rsid w:val="0036724A"/>
    <w:rsid w:val="00371828"/>
    <w:rsid w:val="00371F84"/>
    <w:rsid w:val="00374317"/>
    <w:rsid w:val="003754A1"/>
    <w:rsid w:val="003756AA"/>
    <w:rsid w:val="00375CB9"/>
    <w:rsid w:val="003761D0"/>
    <w:rsid w:val="003761E3"/>
    <w:rsid w:val="00376C90"/>
    <w:rsid w:val="00377F98"/>
    <w:rsid w:val="00380751"/>
    <w:rsid w:val="00380C9D"/>
    <w:rsid w:val="00380D41"/>
    <w:rsid w:val="003815F5"/>
    <w:rsid w:val="003825C4"/>
    <w:rsid w:val="00382BDA"/>
    <w:rsid w:val="00382CA3"/>
    <w:rsid w:val="00386019"/>
    <w:rsid w:val="003869FA"/>
    <w:rsid w:val="0038735F"/>
    <w:rsid w:val="00390036"/>
    <w:rsid w:val="00391E50"/>
    <w:rsid w:val="00392944"/>
    <w:rsid w:val="0039326C"/>
    <w:rsid w:val="00393332"/>
    <w:rsid w:val="00396B4D"/>
    <w:rsid w:val="003A091D"/>
    <w:rsid w:val="003A1667"/>
    <w:rsid w:val="003A28A0"/>
    <w:rsid w:val="003A28CC"/>
    <w:rsid w:val="003A2D83"/>
    <w:rsid w:val="003A399B"/>
    <w:rsid w:val="003A4E31"/>
    <w:rsid w:val="003A55CE"/>
    <w:rsid w:val="003B06D5"/>
    <w:rsid w:val="003B079D"/>
    <w:rsid w:val="003B1BF9"/>
    <w:rsid w:val="003B2BB8"/>
    <w:rsid w:val="003B5FA2"/>
    <w:rsid w:val="003B7843"/>
    <w:rsid w:val="003C1094"/>
    <w:rsid w:val="003C12A6"/>
    <w:rsid w:val="003C1E55"/>
    <w:rsid w:val="003C3A9F"/>
    <w:rsid w:val="003C3D27"/>
    <w:rsid w:val="003C6140"/>
    <w:rsid w:val="003C63D0"/>
    <w:rsid w:val="003C6459"/>
    <w:rsid w:val="003C7284"/>
    <w:rsid w:val="003D10B3"/>
    <w:rsid w:val="003D1234"/>
    <w:rsid w:val="003D2126"/>
    <w:rsid w:val="003D34FF"/>
    <w:rsid w:val="003D37AF"/>
    <w:rsid w:val="003D5D4D"/>
    <w:rsid w:val="003D5DDC"/>
    <w:rsid w:val="003D7BDF"/>
    <w:rsid w:val="003E09CE"/>
    <w:rsid w:val="003E0F0A"/>
    <w:rsid w:val="003E1057"/>
    <w:rsid w:val="003E1CA7"/>
    <w:rsid w:val="003E3E82"/>
    <w:rsid w:val="003E526F"/>
    <w:rsid w:val="003E59E7"/>
    <w:rsid w:val="003E69F9"/>
    <w:rsid w:val="003F0115"/>
    <w:rsid w:val="003F0BA8"/>
    <w:rsid w:val="003F1FD1"/>
    <w:rsid w:val="003F2EB7"/>
    <w:rsid w:val="003F44E3"/>
    <w:rsid w:val="003F4514"/>
    <w:rsid w:val="003F6F10"/>
    <w:rsid w:val="003F701C"/>
    <w:rsid w:val="00400CC6"/>
    <w:rsid w:val="004014D7"/>
    <w:rsid w:val="00401FCA"/>
    <w:rsid w:val="004039AD"/>
    <w:rsid w:val="00405109"/>
    <w:rsid w:val="004059CD"/>
    <w:rsid w:val="00406391"/>
    <w:rsid w:val="00407424"/>
    <w:rsid w:val="004077B2"/>
    <w:rsid w:val="00407B69"/>
    <w:rsid w:val="00411F1B"/>
    <w:rsid w:val="004121D8"/>
    <w:rsid w:val="00414F16"/>
    <w:rsid w:val="00415471"/>
    <w:rsid w:val="004158AD"/>
    <w:rsid w:val="004170AD"/>
    <w:rsid w:val="0042024F"/>
    <w:rsid w:val="00421252"/>
    <w:rsid w:val="00422B45"/>
    <w:rsid w:val="004237FD"/>
    <w:rsid w:val="004239C5"/>
    <w:rsid w:val="00424429"/>
    <w:rsid w:val="00425CF0"/>
    <w:rsid w:val="00425D01"/>
    <w:rsid w:val="00426580"/>
    <w:rsid w:val="00427A27"/>
    <w:rsid w:val="00430538"/>
    <w:rsid w:val="00432B41"/>
    <w:rsid w:val="00432C77"/>
    <w:rsid w:val="00433003"/>
    <w:rsid w:val="00435BCA"/>
    <w:rsid w:val="00436BA6"/>
    <w:rsid w:val="00440DB4"/>
    <w:rsid w:val="0044603F"/>
    <w:rsid w:val="0044610B"/>
    <w:rsid w:val="00450971"/>
    <w:rsid w:val="0045344E"/>
    <w:rsid w:val="00454C17"/>
    <w:rsid w:val="00454E4E"/>
    <w:rsid w:val="00456E86"/>
    <w:rsid w:val="00463349"/>
    <w:rsid w:val="00463E37"/>
    <w:rsid w:val="00464166"/>
    <w:rsid w:val="00466DEB"/>
    <w:rsid w:val="00467010"/>
    <w:rsid w:val="00467767"/>
    <w:rsid w:val="00471009"/>
    <w:rsid w:val="0047218A"/>
    <w:rsid w:val="00473B58"/>
    <w:rsid w:val="00474A6E"/>
    <w:rsid w:val="0047561D"/>
    <w:rsid w:val="00475A86"/>
    <w:rsid w:val="00477C03"/>
    <w:rsid w:val="00480360"/>
    <w:rsid w:val="00481B1F"/>
    <w:rsid w:val="0048229D"/>
    <w:rsid w:val="004824F7"/>
    <w:rsid w:val="004853C4"/>
    <w:rsid w:val="00490557"/>
    <w:rsid w:val="0049627C"/>
    <w:rsid w:val="00496B50"/>
    <w:rsid w:val="00497029"/>
    <w:rsid w:val="00497A98"/>
    <w:rsid w:val="004A02A2"/>
    <w:rsid w:val="004A237C"/>
    <w:rsid w:val="004A3999"/>
    <w:rsid w:val="004B36A7"/>
    <w:rsid w:val="004B44EC"/>
    <w:rsid w:val="004B54CA"/>
    <w:rsid w:val="004B5665"/>
    <w:rsid w:val="004B5D62"/>
    <w:rsid w:val="004B67C8"/>
    <w:rsid w:val="004B706A"/>
    <w:rsid w:val="004B7CFF"/>
    <w:rsid w:val="004C034F"/>
    <w:rsid w:val="004C0B2D"/>
    <w:rsid w:val="004C0EAC"/>
    <w:rsid w:val="004C1B08"/>
    <w:rsid w:val="004C3B4D"/>
    <w:rsid w:val="004C6261"/>
    <w:rsid w:val="004D0AA0"/>
    <w:rsid w:val="004D18E9"/>
    <w:rsid w:val="004D1C03"/>
    <w:rsid w:val="004D2E2B"/>
    <w:rsid w:val="004D2F54"/>
    <w:rsid w:val="004D44E0"/>
    <w:rsid w:val="004D4DA9"/>
    <w:rsid w:val="004D4DB9"/>
    <w:rsid w:val="004D5F80"/>
    <w:rsid w:val="004D7436"/>
    <w:rsid w:val="004E2D04"/>
    <w:rsid w:val="004E4E73"/>
    <w:rsid w:val="004E5CBF"/>
    <w:rsid w:val="004E6A11"/>
    <w:rsid w:val="004F0896"/>
    <w:rsid w:val="004F0A18"/>
    <w:rsid w:val="004F43A9"/>
    <w:rsid w:val="004F6F7A"/>
    <w:rsid w:val="005002AB"/>
    <w:rsid w:val="0050073D"/>
    <w:rsid w:val="00503C49"/>
    <w:rsid w:val="00503FEB"/>
    <w:rsid w:val="0050667E"/>
    <w:rsid w:val="00506CD7"/>
    <w:rsid w:val="005123DB"/>
    <w:rsid w:val="005125CA"/>
    <w:rsid w:val="00513F36"/>
    <w:rsid w:val="00516BFB"/>
    <w:rsid w:val="0052003E"/>
    <w:rsid w:val="00521C68"/>
    <w:rsid w:val="00524C89"/>
    <w:rsid w:val="00525412"/>
    <w:rsid w:val="00530191"/>
    <w:rsid w:val="00531DE8"/>
    <w:rsid w:val="005326F7"/>
    <w:rsid w:val="00533BCD"/>
    <w:rsid w:val="00533EA8"/>
    <w:rsid w:val="0053461A"/>
    <w:rsid w:val="005350BD"/>
    <w:rsid w:val="00536C17"/>
    <w:rsid w:val="005379AE"/>
    <w:rsid w:val="005421AE"/>
    <w:rsid w:val="005451EE"/>
    <w:rsid w:val="005472D7"/>
    <w:rsid w:val="00550CF4"/>
    <w:rsid w:val="00553E83"/>
    <w:rsid w:val="005541A7"/>
    <w:rsid w:val="00554294"/>
    <w:rsid w:val="005567EB"/>
    <w:rsid w:val="00556B0D"/>
    <w:rsid w:val="00560360"/>
    <w:rsid w:val="00560381"/>
    <w:rsid w:val="00560DE2"/>
    <w:rsid w:val="00563383"/>
    <w:rsid w:val="00563C92"/>
    <w:rsid w:val="00566510"/>
    <w:rsid w:val="0056663D"/>
    <w:rsid w:val="00566DB3"/>
    <w:rsid w:val="0057014A"/>
    <w:rsid w:val="00571A45"/>
    <w:rsid w:val="0057229A"/>
    <w:rsid w:val="005741E2"/>
    <w:rsid w:val="005746CC"/>
    <w:rsid w:val="00574E8C"/>
    <w:rsid w:val="00580801"/>
    <w:rsid w:val="0058492B"/>
    <w:rsid w:val="00586B84"/>
    <w:rsid w:val="00587918"/>
    <w:rsid w:val="00590A15"/>
    <w:rsid w:val="00590F80"/>
    <w:rsid w:val="00592BC8"/>
    <w:rsid w:val="0059530B"/>
    <w:rsid w:val="00597417"/>
    <w:rsid w:val="005A0D2E"/>
    <w:rsid w:val="005A13EE"/>
    <w:rsid w:val="005A3027"/>
    <w:rsid w:val="005A3053"/>
    <w:rsid w:val="005A5331"/>
    <w:rsid w:val="005A5395"/>
    <w:rsid w:val="005A5918"/>
    <w:rsid w:val="005A6EFB"/>
    <w:rsid w:val="005B3503"/>
    <w:rsid w:val="005B38D2"/>
    <w:rsid w:val="005B47ED"/>
    <w:rsid w:val="005B50EB"/>
    <w:rsid w:val="005B5C02"/>
    <w:rsid w:val="005B5E60"/>
    <w:rsid w:val="005B6A8F"/>
    <w:rsid w:val="005B6CDF"/>
    <w:rsid w:val="005B7EB4"/>
    <w:rsid w:val="005B7FD7"/>
    <w:rsid w:val="005C297F"/>
    <w:rsid w:val="005C3AA9"/>
    <w:rsid w:val="005D03D4"/>
    <w:rsid w:val="005D33C1"/>
    <w:rsid w:val="005D3CF2"/>
    <w:rsid w:val="005D436F"/>
    <w:rsid w:val="005D67DB"/>
    <w:rsid w:val="005D6A63"/>
    <w:rsid w:val="005D7DA7"/>
    <w:rsid w:val="005D7FC2"/>
    <w:rsid w:val="005E0C66"/>
    <w:rsid w:val="005E0F89"/>
    <w:rsid w:val="005E175D"/>
    <w:rsid w:val="005E1AD8"/>
    <w:rsid w:val="005E244A"/>
    <w:rsid w:val="005E2CB7"/>
    <w:rsid w:val="005E39AD"/>
    <w:rsid w:val="005E3BF9"/>
    <w:rsid w:val="005E3C1A"/>
    <w:rsid w:val="005E3F31"/>
    <w:rsid w:val="005E4684"/>
    <w:rsid w:val="005E4ADF"/>
    <w:rsid w:val="005E5729"/>
    <w:rsid w:val="005E760E"/>
    <w:rsid w:val="005F0AFC"/>
    <w:rsid w:val="005F1A35"/>
    <w:rsid w:val="005F3157"/>
    <w:rsid w:val="005F501E"/>
    <w:rsid w:val="005F5CCB"/>
    <w:rsid w:val="005F61AB"/>
    <w:rsid w:val="00605CA0"/>
    <w:rsid w:val="006075BC"/>
    <w:rsid w:val="00607DE3"/>
    <w:rsid w:val="00611536"/>
    <w:rsid w:val="006127FB"/>
    <w:rsid w:val="006143D7"/>
    <w:rsid w:val="006169A1"/>
    <w:rsid w:val="00621D94"/>
    <w:rsid w:val="006229B7"/>
    <w:rsid w:val="00623680"/>
    <w:rsid w:val="00623BE4"/>
    <w:rsid w:val="006241F9"/>
    <w:rsid w:val="00624572"/>
    <w:rsid w:val="00625394"/>
    <w:rsid w:val="00626B36"/>
    <w:rsid w:val="00626B5C"/>
    <w:rsid w:val="00630A40"/>
    <w:rsid w:val="00632C7D"/>
    <w:rsid w:val="00633826"/>
    <w:rsid w:val="00633FC7"/>
    <w:rsid w:val="006346CB"/>
    <w:rsid w:val="006347A9"/>
    <w:rsid w:val="0063716E"/>
    <w:rsid w:val="00640862"/>
    <w:rsid w:val="00640D00"/>
    <w:rsid w:val="0064305A"/>
    <w:rsid w:val="0064338E"/>
    <w:rsid w:val="00643D55"/>
    <w:rsid w:val="006444C1"/>
    <w:rsid w:val="00644CEC"/>
    <w:rsid w:val="00645824"/>
    <w:rsid w:val="0064638A"/>
    <w:rsid w:val="0064657A"/>
    <w:rsid w:val="00647185"/>
    <w:rsid w:val="00647ACB"/>
    <w:rsid w:val="00651638"/>
    <w:rsid w:val="006532CA"/>
    <w:rsid w:val="00653586"/>
    <w:rsid w:val="00653DD9"/>
    <w:rsid w:val="00653DFE"/>
    <w:rsid w:val="00654ABF"/>
    <w:rsid w:val="00655E93"/>
    <w:rsid w:val="00656869"/>
    <w:rsid w:val="00657582"/>
    <w:rsid w:val="0066313C"/>
    <w:rsid w:val="006636AD"/>
    <w:rsid w:val="006664AE"/>
    <w:rsid w:val="00667248"/>
    <w:rsid w:val="00670AB1"/>
    <w:rsid w:val="00671C99"/>
    <w:rsid w:val="006772F0"/>
    <w:rsid w:val="0067770C"/>
    <w:rsid w:val="006801AD"/>
    <w:rsid w:val="00682950"/>
    <w:rsid w:val="00683837"/>
    <w:rsid w:val="00684BAB"/>
    <w:rsid w:val="0069108F"/>
    <w:rsid w:val="006922DC"/>
    <w:rsid w:val="00692EF6"/>
    <w:rsid w:val="006930D6"/>
    <w:rsid w:val="00693425"/>
    <w:rsid w:val="0069445A"/>
    <w:rsid w:val="0069469C"/>
    <w:rsid w:val="00695548"/>
    <w:rsid w:val="006963D2"/>
    <w:rsid w:val="00696E2B"/>
    <w:rsid w:val="006A2A79"/>
    <w:rsid w:val="006A40A7"/>
    <w:rsid w:val="006A4CE7"/>
    <w:rsid w:val="006A4DEB"/>
    <w:rsid w:val="006A6044"/>
    <w:rsid w:val="006A783D"/>
    <w:rsid w:val="006A7A38"/>
    <w:rsid w:val="006B1CFD"/>
    <w:rsid w:val="006B2EB2"/>
    <w:rsid w:val="006B2ECC"/>
    <w:rsid w:val="006B3396"/>
    <w:rsid w:val="006B3C81"/>
    <w:rsid w:val="006B40C3"/>
    <w:rsid w:val="006B5736"/>
    <w:rsid w:val="006B5A11"/>
    <w:rsid w:val="006B68F3"/>
    <w:rsid w:val="006B6972"/>
    <w:rsid w:val="006C2621"/>
    <w:rsid w:val="006C2F55"/>
    <w:rsid w:val="006C310B"/>
    <w:rsid w:val="006C454C"/>
    <w:rsid w:val="006C6BED"/>
    <w:rsid w:val="006D19D4"/>
    <w:rsid w:val="006D4F2B"/>
    <w:rsid w:val="006D6775"/>
    <w:rsid w:val="006D7F9C"/>
    <w:rsid w:val="006E22D4"/>
    <w:rsid w:val="006E4530"/>
    <w:rsid w:val="006E5943"/>
    <w:rsid w:val="006E5C22"/>
    <w:rsid w:val="006E71A3"/>
    <w:rsid w:val="006F1520"/>
    <w:rsid w:val="006F1A63"/>
    <w:rsid w:val="006F2987"/>
    <w:rsid w:val="006F2FFE"/>
    <w:rsid w:val="006F36F5"/>
    <w:rsid w:val="006F4569"/>
    <w:rsid w:val="006F6076"/>
    <w:rsid w:val="006F7CC0"/>
    <w:rsid w:val="00700B9B"/>
    <w:rsid w:val="00702760"/>
    <w:rsid w:val="00702F11"/>
    <w:rsid w:val="00703FED"/>
    <w:rsid w:val="00706B77"/>
    <w:rsid w:val="00707497"/>
    <w:rsid w:val="00707C9B"/>
    <w:rsid w:val="00710265"/>
    <w:rsid w:val="00710D25"/>
    <w:rsid w:val="00711D14"/>
    <w:rsid w:val="007136FC"/>
    <w:rsid w:val="00714148"/>
    <w:rsid w:val="00715465"/>
    <w:rsid w:val="00716277"/>
    <w:rsid w:val="007171F5"/>
    <w:rsid w:val="007173AD"/>
    <w:rsid w:val="007216D4"/>
    <w:rsid w:val="00722036"/>
    <w:rsid w:val="00723D94"/>
    <w:rsid w:val="00727AF6"/>
    <w:rsid w:val="00730721"/>
    <w:rsid w:val="00730BC8"/>
    <w:rsid w:val="007313F7"/>
    <w:rsid w:val="00732C77"/>
    <w:rsid w:val="00733942"/>
    <w:rsid w:val="00734037"/>
    <w:rsid w:val="00736F09"/>
    <w:rsid w:val="00737A36"/>
    <w:rsid w:val="00743378"/>
    <w:rsid w:val="0074422F"/>
    <w:rsid w:val="0074574C"/>
    <w:rsid w:val="00750875"/>
    <w:rsid w:val="00750B2C"/>
    <w:rsid w:val="00751D0B"/>
    <w:rsid w:val="00752934"/>
    <w:rsid w:val="00752E7A"/>
    <w:rsid w:val="0075457F"/>
    <w:rsid w:val="0075483F"/>
    <w:rsid w:val="00754EA8"/>
    <w:rsid w:val="007571DE"/>
    <w:rsid w:val="00757440"/>
    <w:rsid w:val="00757785"/>
    <w:rsid w:val="00760A9C"/>
    <w:rsid w:val="00762691"/>
    <w:rsid w:val="00762A8E"/>
    <w:rsid w:val="007635BC"/>
    <w:rsid w:val="00765A86"/>
    <w:rsid w:val="00766014"/>
    <w:rsid w:val="00770B2F"/>
    <w:rsid w:val="00770C2E"/>
    <w:rsid w:val="00773BFB"/>
    <w:rsid w:val="0077492C"/>
    <w:rsid w:val="00775414"/>
    <w:rsid w:val="00777FFD"/>
    <w:rsid w:val="00780C4E"/>
    <w:rsid w:val="00780DC1"/>
    <w:rsid w:val="0078149E"/>
    <w:rsid w:val="00782CB5"/>
    <w:rsid w:val="00783ABD"/>
    <w:rsid w:val="00784B92"/>
    <w:rsid w:val="00784BFB"/>
    <w:rsid w:val="00784C0D"/>
    <w:rsid w:val="00785261"/>
    <w:rsid w:val="007854FD"/>
    <w:rsid w:val="00785A93"/>
    <w:rsid w:val="007864B6"/>
    <w:rsid w:val="007872EC"/>
    <w:rsid w:val="00787915"/>
    <w:rsid w:val="00790454"/>
    <w:rsid w:val="00790DB8"/>
    <w:rsid w:val="00792484"/>
    <w:rsid w:val="00792672"/>
    <w:rsid w:val="00792773"/>
    <w:rsid w:val="00792DF1"/>
    <w:rsid w:val="00793AC4"/>
    <w:rsid w:val="0079424E"/>
    <w:rsid w:val="00795BE0"/>
    <w:rsid w:val="00796A51"/>
    <w:rsid w:val="007A0A55"/>
    <w:rsid w:val="007A1180"/>
    <w:rsid w:val="007A18AC"/>
    <w:rsid w:val="007A5444"/>
    <w:rsid w:val="007A5C16"/>
    <w:rsid w:val="007A649F"/>
    <w:rsid w:val="007A673C"/>
    <w:rsid w:val="007A6F27"/>
    <w:rsid w:val="007A7CF5"/>
    <w:rsid w:val="007B0256"/>
    <w:rsid w:val="007B28E8"/>
    <w:rsid w:val="007B32B2"/>
    <w:rsid w:val="007B3A14"/>
    <w:rsid w:val="007B3A27"/>
    <w:rsid w:val="007B53EF"/>
    <w:rsid w:val="007B569A"/>
    <w:rsid w:val="007B5ABF"/>
    <w:rsid w:val="007B5D84"/>
    <w:rsid w:val="007B6FC7"/>
    <w:rsid w:val="007B7644"/>
    <w:rsid w:val="007B7FCE"/>
    <w:rsid w:val="007C037A"/>
    <w:rsid w:val="007C1BB9"/>
    <w:rsid w:val="007C1FE2"/>
    <w:rsid w:val="007C3181"/>
    <w:rsid w:val="007C33B9"/>
    <w:rsid w:val="007C5CAF"/>
    <w:rsid w:val="007C604B"/>
    <w:rsid w:val="007C7063"/>
    <w:rsid w:val="007D1DAB"/>
    <w:rsid w:val="007D4141"/>
    <w:rsid w:val="007D5208"/>
    <w:rsid w:val="007E1EFF"/>
    <w:rsid w:val="007E2116"/>
    <w:rsid w:val="007E322C"/>
    <w:rsid w:val="007E45C6"/>
    <w:rsid w:val="007E4E60"/>
    <w:rsid w:val="007E5CB2"/>
    <w:rsid w:val="007E696B"/>
    <w:rsid w:val="007E7151"/>
    <w:rsid w:val="007F0FEA"/>
    <w:rsid w:val="007F136E"/>
    <w:rsid w:val="007F223A"/>
    <w:rsid w:val="007F25CE"/>
    <w:rsid w:val="007F2BA3"/>
    <w:rsid w:val="007F2E9F"/>
    <w:rsid w:val="007F5329"/>
    <w:rsid w:val="0080136B"/>
    <w:rsid w:val="00801F1F"/>
    <w:rsid w:val="00805848"/>
    <w:rsid w:val="00810922"/>
    <w:rsid w:val="00810958"/>
    <w:rsid w:val="00810F87"/>
    <w:rsid w:val="0081294B"/>
    <w:rsid w:val="00815FB1"/>
    <w:rsid w:val="008166DA"/>
    <w:rsid w:val="00816D23"/>
    <w:rsid w:val="00820D83"/>
    <w:rsid w:val="00826269"/>
    <w:rsid w:val="008336C9"/>
    <w:rsid w:val="00834577"/>
    <w:rsid w:val="008365CC"/>
    <w:rsid w:val="00837024"/>
    <w:rsid w:val="00837AFF"/>
    <w:rsid w:val="00840A64"/>
    <w:rsid w:val="00841838"/>
    <w:rsid w:val="0084293F"/>
    <w:rsid w:val="00845333"/>
    <w:rsid w:val="008455B6"/>
    <w:rsid w:val="00845DE8"/>
    <w:rsid w:val="008470EA"/>
    <w:rsid w:val="008477EC"/>
    <w:rsid w:val="00850994"/>
    <w:rsid w:val="008509CF"/>
    <w:rsid w:val="00850F14"/>
    <w:rsid w:val="00851DAE"/>
    <w:rsid w:val="00852A6E"/>
    <w:rsid w:val="008530D3"/>
    <w:rsid w:val="0085414D"/>
    <w:rsid w:val="008546AF"/>
    <w:rsid w:val="008550EC"/>
    <w:rsid w:val="00860AD1"/>
    <w:rsid w:val="00861A23"/>
    <w:rsid w:val="00861FB3"/>
    <w:rsid w:val="00862907"/>
    <w:rsid w:val="0086371E"/>
    <w:rsid w:val="00863C41"/>
    <w:rsid w:val="00864710"/>
    <w:rsid w:val="00865C29"/>
    <w:rsid w:val="00866599"/>
    <w:rsid w:val="00867637"/>
    <w:rsid w:val="008737DF"/>
    <w:rsid w:val="00873C07"/>
    <w:rsid w:val="008750D7"/>
    <w:rsid w:val="00875C5F"/>
    <w:rsid w:val="008760E0"/>
    <w:rsid w:val="0087637D"/>
    <w:rsid w:val="0087737B"/>
    <w:rsid w:val="00877C67"/>
    <w:rsid w:val="00880292"/>
    <w:rsid w:val="008814B3"/>
    <w:rsid w:val="00883624"/>
    <w:rsid w:val="00885C7B"/>
    <w:rsid w:val="00887032"/>
    <w:rsid w:val="0088707B"/>
    <w:rsid w:val="008900FF"/>
    <w:rsid w:val="00890C02"/>
    <w:rsid w:val="00893AF5"/>
    <w:rsid w:val="00895E9E"/>
    <w:rsid w:val="0089642D"/>
    <w:rsid w:val="00896525"/>
    <w:rsid w:val="008A01BA"/>
    <w:rsid w:val="008A0313"/>
    <w:rsid w:val="008A05AF"/>
    <w:rsid w:val="008A0FD2"/>
    <w:rsid w:val="008A3877"/>
    <w:rsid w:val="008A5E5A"/>
    <w:rsid w:val="008A790B"/>
    <w:rsid w:val="008B02BA"/>
    <w:rsid w:val="008B1810"/>
    <w:rsid w:val="008B268C"/>
    <w:rsid w:val="008B4EE2"/>
    <w:rsid w:val="008B52A9"/>
    <w:rsid w:val="008B5516"/>
    <w:rsid w:val="008B5613"/>
    <w:rsid w:val="008C25FB"/>
    <w:rsid w:val="008C4238"/>
    <w:rsid w:val="008C5237"/>
    <w:rsid w:val="008C764B"/>
    <w:rsid w:val="008C7D11"/>
    <w:rsid w:val="008D0B4C"/>
    <w:rsid w:val="008D1B26"/>
    <w:rsid w:val="008D2E67"/>
    <w:rsid w:val="008D31C3"/>
    <w:rsid w:val="008D4370"/>
    <w:rsid w:val="008D4588"/>
    <w:rsid w:val="008D462D"/>
    <w:rsid w:val="008D5A21"/>
    <w:rsid w:val="008E0340"/>
    <w:rsid w:val="008E06FC"/>
    <w:rsid w:val="008E43BD"/>
    <w:rsid w:val="008E4F19"/>
    <w:rsid w:val="008E5C90"/>
    <w:rsid w:val="008E5FAB"/>
    <w:rsid w:val="008E688E"/>
    <w:rsid w:val="008E698E"/>
    <w:rsid w:val="008E7CEA"/>
    <w:rsid w:val="008F0E4A"/>
    <w:rsid w:val="008F1B85"/>
    <w:rsid w:val="008F26A9"/>
    <w:rsid w:val="008F2CA7"/>
    <w:rsid w:val="008F35E0"/>
    <w:rsid w:val="008F41DA"/>
    <w:rsid w:val="008F4B41"/>
    <w:rsid w:val="008F4CF5"/>
    <w:rsid w:val="008F5A49"/>
    <w:rsid w:val="008F6EB1"/>
    <w:rsid w:val="008F7160"/>
    <w:rsid w:val="008F7C73"/>
    <w:rsid w:val="008F7FDC"/>
    <w:rsid w:val="00900DDB"/>
    <w:rsid w:val="00901486"/>
    <w:rsid w:val="00903427"/>
    <w:rsid w:val="00903B11"/>
    <w:rsid w:val="00903F0C"/>
    <w:rsid w:val="0090516B"/>
    <w:rsid w:val="009060FA"/>
    <w:rsid w:val="009062C1"/>
    <w:rsid w:val="00910418"/>
    <w:rsid w:val="009128D1"/>
    <w:rsid w:val="00912A2D"/>
    <w:rsid w:val="00912CA5"/>
    <w:rsid w:val="00912E64"/>
    <w:rsid w:val="009134DA"/>
    <w:rsid w:val="0091584D"/>
    <w:rsid w:val="00916ABB"/>
    <w:rsid w:val="00917890"/>
    <w:rsid w:val="009204EB"/>
    <w:rsid w:val="00920DB3"/>
    <w:rsid w:val="009210EC"/>
    <w:rsid w:val="009225F0"/>
    <w:rsid w:val="00923D02"/>
    <w:rsid w:val="00925826"/>
    <w:rsid w:val="00926D80"/>
    <w:rsid w:val="00931823"/>
    <w:rsid w:val="00933179"/>
    <w:rsid w:val="00933539"/>
    <w:rsid w:val="00934F76"/>
    <w:rsid w:val="009353B2"/>
    <w:rsid w:val="00936A64"/>
    <w:rsid w:val="009405D9"/>
    <w:rsid w:val="00941004"/>
    <w:rsid w:val="009411A0"/>
    <w:rsid w:val="00941A9C"/>
    <w:rsid w:val="00942303"/>
    <w:rsid w:val="00943E74"/>
    <w:rsid w:val="009456DD"/>
    <w:rsid w:val="00947A1D"/>
    <w:rsid w:val="00952077"/>
    <w:rsid w:val="0095272D"/>
    <w:rsid w:val="00953D92"/>
    <w:rsid w:val="00953DD3"/>
    <w:rsid w:val="009547E1"/>
    <w:rsid w:val="00954E4D"/>
    <w:rsid w:val="0096252E"/>
    <w:rsid w:val="00963F36"/>
    <w:rsid w:val="00964FB5"/>
    <w:rsid w:val="009661A4"/>
    <w:rsid w:val="00966C59"/>
    <w:rsid w:val="009672D2"/>
    <w:rsid w:val="00970D76"/>
    <w:rsid w:val="00971EC2"/>
    <w:rsid w:val="00972D31"/>
    <w:rsid w:val="009740D5"/>
    <w:rsid w:val="00977530"/>
    <w:rsid w:val="009776FC"/>
    <w:rsid w:val="00977932"/>
    <w:rsid w:val="009804CF"/>
    <w:rsid w:val="0098052E"/>
    <w:rsid w:val="0098181C"/>
    <w:rsid w:val="009828BF"/>
    <w:rsid w:val="00982D42"/>
    <w:rsid w:val="0098369A"/>
    <w:rsid w:val="009851E6"/>
    <w:rsid w:val="00985454"/>
    <w:rsid w:val="00985817"/>
    <w:rsid w:val="00985AFE"/>
    <w:rsid w:val="0098609A"/>
    <w:rsid w:val="0098732D"/>
    <w:rsid w:val="0099086D"/>
    <w:rsid w:val="009925BB"/>
    <w:rsid w:val="0099605E"/>
    <w:rsid w:val="00996E2D"/>
    <w:rsid w:val="00997155"/>
    <w:rsid w:val="00997BDF"/>
    <w:rsid w:val="009A0948"/>
    <w:rsid w:val="009A49F9"/>
    <w:rsid w:val="009A5CCA"/>
    <w:rsid w:val="009B0826"/>
    <w:rsid w:val="009B1FA6"/>
    <w:rsid w:val="009B2831"/>
    <w:rsid w:val="009B4F2D"/>
    <w:rsid w:val="009B5FD7"/>
    <w:rsid w:val="009B60DB"/>
    <w:rsid w:val="009B7360"/>
    <w:rsid w:val="009C063F"/>
    <w:rsid w:val="009C0C88"/>
    <w:rsid w:val="009C1462"/>
    <w:rsid w:val="009C7BAD"/>
    <w:rsid w:val="009D16FD"/>
    <w:rsid w:val="009D1CB1"/>
    <w:rsid w:val="009D793D"/>
    <w:rsid w:val="009E1F7D"/>
    <w:rsid w:val="009E4C24"/>
    <w:rsid w:val="009E583A"/>
    <w:rsid w:val="009E7C9E"/>
    <w:rsid w:val="009F2A04"/>
    <w:rsid w:val="009F2AEA"/>
    <w:rsid w:val="009F3D7E"/>
    <w:rsid w:val="009F46A2"/>
    <w:rsid w:val="009F5541"/>
    <w:rsid w:val="009F58D5"/>
    <w:rsid w:val="009F5A8B"/>
    <w:rsid w:val="009F6FE0"/>
    <w:rsid w:val="009F713E"/>
    <w:rsid w:val="009F7280"/>
    <w:rsid w:val="009F74DF"/>
    <w:rsid w:val="009F7F74"/>
    <w:rsid w:val="00A0026F"/>
    <w:rsid w:val="00A01AC6"/>
    <w:rsid w:val="00A01B24"/>
    <w:rsid w:val="00A0200E"/>
    <w:rsid w:val="00A02498"/>
    <w:rsid w:val="00A02A29"/>
    <w:rsid w:val="00A043DF"/>
    <w:rsid w:val="00A04FB0"/>
    <w:rsid w:val="00A056B4"/>
    <w:rsid w:val="00A068AD"/>
    <w:rsid w:val="00A0788C"/>
    <w:rsid w:val="00A10F46"/>
    <w:rsid w:val="00A11D30"/>
    <w:rsid w:val="00A130AB"/>
    <w:rsid w:val="00A1312C"/>
    <w:rsid w:val="00A14A8F"/>
    <w:rsid w:val="00A15FEC"/>
    <w:rsid w:val="00A20D94"/>
    <w:rsid w:val="00A25BBA"/>
    <w:rsid w:val="00A25BBC"/>
    <w:rsid w:val="00A25BD3"/>
    <w:rsid w:val="00A268FB"/>
    <w:rsid w:val="00A30D4C"/>
    <w:rsid w:val="00A32ADA"/>
    <w:rsid w:val="00A34A20"/>
    <w:rsid w:val="00A36F25"/>
    <w:rsid w:val="00A3768E"/>
    <w:rsid w:val="00A40166"/>
    <w:rsid w:val="00A464FD"/>
    <w:rsid w:val="00A47127"/>
    <w:rsid w:val="00A47F43"/>
    <w:rsid w:val="00A50A84"/>
    <w:rsid w:val="00A52282"/>
    <w:rsid w:val="00A544CF"/>
    <w:rsid w:val="00A5505A"/>
    <w:rsid w:val="00A560E2"/>
    <w:rsid w:val="00A565F8"/>
    <w:rsid w:val="00A56612"/>
    <w:rsid w:val="00A569F2"/>
    <w:rsid w:val="00A5780F"/>
    <w:rsid w:val="00A607CD"/>
    <w:rsid w:val="00A613A6"/>
    <w:rsid w:val="00A62B45"/>
    <w:rsid w:val="00A62B68"/>
    <w:rsid w:val="00A65E90"/>
    <w:rsid w:val="00A67489"/>
    <w:rsid w:val="00A676E5"/>
    <w:rsid w:val="00A71BF6"/>
    <w:rsid w:val="00A7284C"/>
    <w:rsid w:val="00A7396E"/>
    <w:rsid w:val="00A74D60"/>
    <w:rsid w:val="00A75FC8"/>
    <w:rsid w:val="00A7675B"/>
    <w:rsid w:val="00A77AA2"/>
    <w:rsid w:val="00A77DC3"/>
    <w:rsid w:val="00A838DE"/>
    <w:rsid w:val="00A83B54"/>
    <w:rsid w:val="00A83C47"/>
    <w:rsid w:val="00A84232"/>
    <w:rsid w:val="00A93D91"/>
    <w:rsid w:val="00A947BD"/>
    <w:rsid w:val="00A95252"/>
    <w:rsid w:val="00A95607"/>
    <w:rsid w:val="00A973FE"/>
    <w:rsid w:val="00AA3243"/>
    <w:rsid w:val="00AA39A9"/>
    <w:rsid w:val="00AA470D"/>
    <w:rsid w:val="00AA591E"/>
    <w:rsid w:val="00AA5E4A"/>
    <w:rsid w:val="00AA602F"/>
    <w:rsid w:val="00AA691B"/>
    <w:rsid w:val="00AA75B4"/>
    <w:rsid w:val="00AB0018"/>
    <w:rsid w:val="00AB09F0"/>
    <w:rsid w:val="00AB1B75"/>
    <w:rsid w:val="00AB4838"/>
    <w:rsid w:val="00AB6381"/>
    <w:rsid w:val="00AB7655"/>
    <w:rsid w:val="00AC0110"/>
    <w:rsid w:val="00AC0479"/>
    <w:rsid w:val="00AC1B70"/>
    <w:rsid w:val="00AC1CFC"/>
    <w:rsid w:val="00AC298F"/>
    <w:rsid w:val="00AC2EC1"/>
    <w:rsid w:val="00AC6D93"/>
    <w:rsid w:val="00AC7505"/>
    <w:rsid w:val="00AD00D2"/>
    <w:rsid w:val="00AD013E"/>
    <w:rsid w:val="00AD0CB3"/>
    <w:rsid w:val="00AD1AAB"/>
    <w:rsid w:val="00AD4E78"/>
    <w:rsid w:val="00AD5A26"/>
    <w:rsid w:val="00AD74CA"/>
    <w:rsid w:val="00AD781D"/>
    <w:rsid w:val="00AE168F"/>
    <w:rsid w:val="00AE1F70"/>
    <w:rsid w:val="00AE3320"/>
    <w:rsid w:val="00AE3932"/>
    <w:rsid w:val="00AE4E0E"/>
    <w:rsid w:val="00AE5F1E"/>
    <w:rsid w:val="00AE614F"/>
    <w:rsid w:val="00AE6362"/>
    <w:rsid w:val="00AF1297"/>
    <w:rsid w:val="00AF3F2E"/>
    <w:rsid w:val="00AF3F92"/>
    <w:rsid w:val="00AF5F04"/>
    <w:rsid w:val="00AF72C6"/>
    <w:rsid w:val="00AF77A5"/>
    <w:rsid w:val="00AF77C6"/>
    <w:rsid w:val="00B00001"/>
    <w:rsid w:val="00B0028C"/>
    <w:rsid w:val="00B01675"/>
    <w:rsid w:val="00B04898"/>
    <w:rsid w:val="00B0508D"/>
    <w:rsid w:val="00B051DF"/>
    <w:rsid w:val="00B05F74"/>
    <w:rsid w:val="00B07D42"/>
    <w:rsid w:val="00B10167"/>
    <w:rsid w:val="00B11379"/>
    <w:rsid w:val="00B123C5"/>
    <w:rsid w:val="00B12E85"/>
    <w:rsid w:val="00B1385D"/>
    <w:rsid w:val="00B164EE"/>
    <w:rsid w:val="00B16F7A"/>
    <w:rsid w:val="00B1761B"/>
    <w:rsid w:val="00B20DFB"/>
    <w:rsid w:val="00B22162"/>
    <w:rsid w:val="00B22D3A"/>
    <w:rsid w:val="00B23300"/>
    <w:rsid w:val="00B23AAE"/>
    <w:rsid w:val="00B25293"/>
    <w:rsid w:val="00B25A4F"/>
    <w:rsid w:val="00B279EC"/>
    <w:rsid w:val="00B32922"/>
    <w:rsid w:val="00B33091"/>
    <w:rsid w:val="00B33911"/>
    <w:rsid w:val="00B351D7"/>
    <w:rsid w:val="00B35EC4"/>
    <w:rsid w:val="00B37B9D"/>
    <w:rsid w:val="00B37E19"/>
    <w:rsid w:val="00B37F61"/>
    <w:rsid w:val="00B42BD1"/>
    <w:rsid w:val="00B4635F"/>
    <w:rsid w:val="00B505D1"/>
    <w:rsid w:val="00B50D10"/>
    <w:rsid w:val="00B521F5"/>
    <w:rsid w:val="00B53E77"/>
    <w:rsid w:val="00B64059"/>
    <w:rsid w:val="00B64066"/>
    <w:rsid w:val="00B6690D"/>
    <w:rsid w:val="00B674B9"/>
    <w:rsid w:val="00B67829"/>
    <w:rsid w:val="00B70098"/>
    <w:rsid w:val="00B730F5"/>
    <w:rsid w:val="00B73850"/>
    <w:rsid w:val="00B74B5B"/>
    <w:rsid w:val="00B830DD"/>
    <w:rsid w:val="00B8331D"/>
    <w:rsid w:val="00B867CF"/>
    <w:rsid w:val="00B86FEA"/>
    <w:rsid w:val="00B90127"/>
    <w:rsid w:val="00B907BB"/>
    <w:rsid w:val="00B91062"/>
    <w:rsid w:val="00B919C5"/>
    <w:rsid w:val="00B919E2"/>
    <w:rsid w:val="00B9253E"/>
    <w:rsid w:val="00B9258F"/>
    <w:rsid w:val="00B92D78"/>
    <w:rsid w:val="00B9331D"/>
    <w:rsid w:val="00B963DB"/>
    <w:rsid w:val="00B96C1A"/>
    <w:rsid w:val="00B96F38"/>
    <w:rsid w:val="00B978B9"/>
    <w:rsid w:val="00BA0328"/>
    <w:rsid w:val="00BA1436"/>
    <w:rsid w:val="00BA2522"/>
    <w:rsid w:val="00BA2DB9"/>
    <w:rsid w:val="00BA50C0"/>
    <w:rsid w:val="00BB2763"/>
    <w:rsid w:val="00BB2B63"/>
    <w:rsid w:val="00BB2F22"/>
    <w:rsid w:val="00BB5BC6"/>
    <w:rsid w:val="00BB65D3"/>
    <w:rsid w:val="00BB6D1D"/>
    <w:rsid w:val="00BB725F"/>
    <w:rsid w:val="00BB7B49"/>
    <w:rsid w:val="00BC00FA"/>
    <w:rsid w:val="00BC073F"/>
    <w:rsid w:val="00BC2AD0"/>
    <w:rsid w:val="00BC5D2E"/>
    <w:rsid w:val="00BD0C94"/>
    <w:rsid w:val="00BD14DF"/>
    <w:rsid w:val="00BD1FAA"/>
    <w:rsid w:val="00BD364F"/>
    <w:rsid w:val="00BD405F"/>
    <w:rsid w:val="00BD4A5D"/>
    <w:rsid w:val="00BD50E3"/>
    <w:rsid w:val="00BD7FEA"/>
    <w:rsid w:val="00BE06DC"/>
    <w:rsid w:val="00BE179C"/>
    <w:rsid w:val="00BE268E"/>
    <w:rsid w:val="00BE48F1"/>
    <w:rsid w:val="00BE6083"/>
    <w:rsid w:val="00BE7148"/>
    <w:rsid w:val="00BF0638"/>
    <w:rsid w:val="00BF1C56"/>
    <w:rsid w:val="00BF30F9"/>
    <w:rsid w:val="00BF36CB"/>
    <w:rsid w:val="00BF3977"/>
    <w:rsid w:val="00BF3D19"/>
    <w:rsid w:val="00BF3EA3"/>
    <w:rsid w:val="00BF4303"/>
    <w:rsid w:val="00C0293D"/>
    <w:rsid w:val="00C03454"/>
    <w:rsid w:val="00C05E1E"/>
    <w:rsid w:val="00C06995"/>
    <w:rsid w:val="00C06C5B"/>
    <w:rsid w:val="00C07105"/>
    <w:rsid w:val="00C072C2"/>
    <w:rsid w:val="00C07BDE"/>
    <w:rsid w:val="00C10216"/>
    <w:rsid w:val="00C1039C"/>
    <w:rsid w:val="00C10414"/>
    <w:rsid w:val="00C10D74"/>
    <w:rsid w:val="00C11814"/>
    <w:rsid w:val="00C12664"/>
    <w:rsid w:val="00C14695"/>
    <w:rsid w:val="00C15687"/>
    <w:rsid w:val="00C15FE3"/>
    <w:rsid w:val="00C1650C"/>
    <w:rsid w:val="00C16DAF"/>
    <w:rsid w:val="00C16FE8"/>
    <w:rsid w:val="00C22C3E"/>
    <w:rsid w:val="00C23795"/>
    <w:rsid w:val="00C23B78"/>
    <w:rsid w:val="00C27E54"/>
    <w:rsid w:val="00C30FCE"/>
    <w:rsid w:val="00C317C1"/>
    <w:rsid w:val="00C32917"/>
    <w:rsid w:val="00C345DB"/>
    <w:rsid w:val="00C3770D"/>
    <w:rsid w:val="00C37BEC"/>
    <w:rsid w:val="00C40756"/>
    <w:rsid w:val="00C412C6"/>
    <w:rsid w:val="00C417A9"/>
    <w:rsid w:val="00C421AC"/>
    <w:rsid w:val="00C42C53"/>
    <w:rsid w:val="00C43770"/>
    <w:rsid w:val="00C439BE"/>
    <w:rsid w:val="00C45C81"/>
    <w:rsid w:val="00C45FD5"/>
    <w:rsid w:val="00C50CF2"/>
    <w:rsid w:val="00C52433"/>
    <w:rsid w:val="00C52DE4"/>
    <w:rsid w:val="00C5577C"/>
    <w:rsid w:val="00C55BF5"/>
    <w:rsid w:val="00C56252"/>
    <w:rsid w:val="00C56A00"/>
    <w:rsid w:val="00C61D76"/>
    <w:rsid w:val="00C632F8"/>
    <w:rsid w:val="00C63AA6"/>
    <w:rsid w:val="00C63F88"/>
    <w:rsid w:val="00C63F96"/>
    <w:rsid w:val="00C64002"/>
    <w:rsid w:val="00C641E8"/>
    <w:rsid w:val="00C643E1"/>
    <w:rsid w:val="00C65677"/>
    <w:rsid w:val="00C65F62"/>
    <w:rsid w:val="00C671BF"/>
    <w:rsid w:val="00C717B2"/>
    <w:rsid w:val="00C71A7D"/>
    <w:rsid w:val="00C736E7"/>
    <w:rsid w:val="00C74FB3"/>
    <w:rsid w:val="00C753D3"/>
    <w:rsid w:val="00C75588"/>
    <w:rsid w:val="00C75C3B"/>
    <w:rsid w:val="00C801BF"/>
    <w:rsid w:val="00C80455"/>
    <w:rsid w:val="00C8129D"/>
    <w:rsid w:val="00C87F74"/>
    <w:rsid w:val="00C9082B"/>
    <w:rsid w:val="00C91AA4"/>
    <w:rsid w:val="00C91ED3"/>
    <w:rsid w:val="00C91F78"/>
    <w:rsid w:val="00C93837"/>
    <w:rsid w:val="00C942D0"/>
    <w:rsid w:val="00C94646"/>
    <w:rsid w:val="00C94ECD"/>
    <w:rsid w:val="00C95EA5"/>
    <w:rsid w:val="00C9615C"/>
    <w:rsid w:val="00C970AC"/>
    <w:rsid w:val="00C9764D"/>
    <w:rsid w:val="00C97928"/>
    <w:rsid w:val="00CA15EF"/>
    <w:rsid w:val="00CA19B0"/>
    <w:rsid w:val="00CA1ADA"/>
    <w:rsid w:val="00CA2D67"/>
    <w:rsid w:val="00CA65A1"/>
    <w:rsid w:val="00CA6A38"/>
    <w:rsid w:val="00CB0250"/>
    <w:rsid w:val="00CB09A8"/>
    <w:rsid w:val="00CB3706"/>
    <w:rsid w:val="00CB3820"/>
    <w:rsid w:val="00CB3CF3"/>
    <w:rsid w:val="00CB4C4B"/>
    <w:rsid w:val="00CC0FC4"/>
    <w:rsid w:val="00CC1B17"/>
    <w:rsid w:val="00CC2305"/>
    <w:rsid w:val="00CC5798"/>
    <w:rsid w:val="00CC6A18"/>
    <w:rsid w:val="00CC6E7C"/>
    <w:rsid w:val="00CC72F8"/>
    <w:rsid w:val="00CD0D91"/>
    <w:rsid w:val="00CD1A97"/>
    <w:rsid w:val="00CD4017"/>
    <w:rsid w:val="00CD47AC"/>
    <w:rsid w:val="00CD49E2"/>
    <w:rsid w:val="00CD51B6"/>
    <w:rsid w:val="00CD6B19"/>
    <w:rsid w:val="00CE084A"/>
    <w:rsid w:val="00CE1000"/>
    <w:rsid w:val="00CE14C0"/>
    <w:rsid w:val="00CE1778"/>
    <w:rsid w:val="00CE1878"/>
    <w:rsid w:val="00CE3CE7"/>
    <w:rsid w:val="00CE4353"/>
    <w:rsid w:val="00CE59A0"/>
    <w:rsid w:val="00CE73B2"/>
    <w:rsid w:val="00CF04D8"/>
    <w:rsid w:val="00CF05ED"/>
    <w:rsid w:val="00CF1071"/>
    <w:rsid w:val="00CF3906"/>
    <w:rsid w:val="00CF3C4E"/>
    <w:rsid w:val="00CF46F4"/>
    <w:rsid w:val="00CF4A08"/>
    <w:rsid w:val="00CF5597"/>
    <w:rsid w:val="00CF55F8"/>
    <w:rsid w:val="00CF5CF5"/>
    <w:rsid w:val="00CF6DAB"/>
    <w:rsid w:val="00CF7012"/>
    <w:rsid w:val="00CF7660"/>
    <w:rsid w:val="00D03633"/>
    <w:rsid w:val="00D036A0"/>
    <w:rsid w:val="00D05198"/>
    <w:rsid w:val="00D07041"/>
    <w:rsid w:val="00D070BB"/>
    <w:rsid w:val="00D074CA"/>
    <w:rsid w:val="00D105DE"/>
    <w:rsid w:val="00D122C0"/>
    <w:rsid w:val="00D12F30"/>
    <w:rsid w:val="00D132C9"/>
    <w:rsid w:val="00D148DF"/>
    <w:rsid w:val="00D152BF"/>
    <w:rsid w:val="00D1554C"/>
    <w:rsid w:val="00D15DB1"/>
    <w:rsid w:val="00D17A71"/>
    <w:rsid w:val="00D21EA8"/>
    <w:rsid w:val="00D22057"/>
    <w:rsid w:val="00D2257F"/>
    <w:rsid w:val="00D248AE"/>
    <w:rsid w:val="00D25ADC"/>
    <w:rsid w:val="00D25D99"/>
    <w:rsid w:val="00D26C8A"/>
    <w:rsid w:val="00D27794"/>
    <w:rsid w:val="00D279D5"/>
    <w:rsid w:val="00D301B3"/>
    <w:rsid w:val="00D30671"/>
    <w:rsid w:val="00D307E9"/>
    <w:rsid w:val="00D317B9"/>
    <w:rsid w:val="00D33C2C"/>
    <w:rsid w:val="00D35347"/>
    <w:rsid w:val="00D35521"/>
    <w:rsid w:val="00D40C40"/>
    <w:rsid w:val="00D432FB"/>
    <w:rsid w:val="00D47CDD"/>
    <w:rsid w:val="00D50034"/>
    <w:rsid w:val="00D50A96"/>
    <w:rsid w:val="00D5268A"/>
    <w:rsid w:val="00D5276C"/>
    <w:rsid w:val="00D5383B"/>
    <w:rsid w:val="00D544ED"/>
    <w:rsid w:val="00D56EF6"/>
    <w:rsid w:val="00D579CE"/>
    <w:rsid w:val="00D61527"/>
    <w:rsid w:val="00D62EC1"/>
    <w:rsid w:val="00D63F22"/>
    <w:rsid w:val="00D64041"/>
    <w:rsid w:val="00D64CD8"/>
    <w:rsid w:val="00D6572B"/>
    <w:rsid w:val="00D66421"/>
    <w:rsid w:val="00D674C4"/>
    <w:rsid w:val="00D6753F"/>
    <w:rsid w:val="00D715C3"/>
    <w:rsid w:val="00D72488"/>
    <w:rsid w:val="00D75AF6"/>
    <w:rsid w:val="00D75D51"/>
    <w:rsid w:val="00D76BAD"/>
    <w:rsid w:val="00D76E1A"/>
    <w:rsid w:val="00D76F17"/>
    <w:rsid w:val="00D8170E"/>
    <w:rsid w:val="00D83023"/>
    <w:rsid w:val="00D84D57"/>
    <w:rsid w:val="00D85964"/>
    <w:rsid w:val="00D85DA0"/>
    <w:rsid w:val="00D87E5E"/>
    <w:rsid w:val="00D9017A"/>
    <w:rsid w:val="00D909ED"/>
    <w:rsid w:val="00D92779"/>
    <w:rsid w:val="00D92F43"/>
    <w:rsid w:val="00D9328B"/>
    <w:rsid w:val="00D939C4"/>
    <w:rsid w:val="00D95374"/>
    <w:rsid w:val="00DA0E04"/>
    <w:rsid w:val="00DA0F85"/>
    <w:rsid w:val="00DA1269"/>
    <w:rsid w:val="00DA151A"/>
    <w:rsid w:val="00DA3886"/>
    <w:rsid w:val="00DA5025"/>
    <w:rsid w:val="00DB0752"/>
    <w:rsid w:val="00DB389E"/>
    <w:rsid w:val="00DB54E2"/>
    <w:rsid w:val="00DB63F6"/>
    <w:rsid w:val="00DB6635"/>
    <w:rsid w:val="00DB6C8D"/>
    <w:rsid w:val="00DB7464"/>
    <w:rsid w:val="00DB76EF"/>
    <w:rsid w:val="00DC11C6"/>
    <w:rsid w:val="00DC31D9"/>
    <w:rsid w:val="00DC5A0E"/>
    <w:rsid w:val="00DC6A13"/>
    <w:rsid w:val="00DC6BB3"/>
    <w:rsid w:val="00DC72BC"/>
    <w:rsid w:val="00DC7382"/>
    <w:rsid w:val="00DC7B37"/>
    <w:rsid w:val="00DC7C8B"/>
    <w:rsid w:val="00DD02AB"/>
    <w:rsid w:val="00DD0A48"/>
    <w:rsid w:val="00DD0B66"/>
    <w:rsid w:val="00DD5A18"/>
    <w:rsid w:val="00DE0815"/>
    <w:rsid w:val="00DE0DFF"/>
    <w:rsid w:val="00DE1434"/>
    <w:rsid w:val="00DE1722"/>
    <w:rsid w:val="00DE1778"/>
    <w:rsid w:val="00DE369A"/>
    <w:rsid w:val="00DE598B"/>
    <w:rsid w:val="00DE5A44"/>
    <w:rsid w:val="00DE6F9F"/>
    <w:rsid w:val="00DF07FA"/>
    <w:rsid w:val="00DF0A1A"/>
    <w:rsid w:val="00DF26F8"/>
    <w:rsid w:val="00DF33E6"/>
    <w:rsid w:val="00DF47F1"/>
    <w:rsid w:val="00DF5AB8"/>
    <w:rsid w:val="00DF69F3"/>
    <w:rsid w:val="00DF6CC1"/>
    <w:rsid w:val="00E000BD"/>
    <w:rsid w:val="00E0033E"/>
    <w:rsid w:val="00E01902"/>
    <w:rsid w:val="00E02E7A"/>
    <w:rsid w:val="00E0417D"/>
    <w:rsid w:val="00E04BBE"/>
    <w:rsid w:val="00E067C5"/>
    <w:rsid w:val="00E06A1F"/>
    <w:rsid w:val="00E06C1F"/>
    <w:rsid w:val="00E070AB"/>
    <w:rsid w:val="00E07898"/>
    <w:rsid w:val="00E14584"/>
    <w:rsid w:val="00E14FCE"/>
    <w:rsid w:val="00E15047"/>
    <w:rsid w:val="00E16181"/>
    <w:rsid w:val="00E16F5C"/>
    <w:rsid w:val="00E174E6"/>
    <w:rsid w:val="00E21EEC"/>
    <w:rsid w:val="00E24DAF"/>
    <w:rsid w:val="00E304EC"/>
    <w:rsid w:val="00E30746"/>
    <w:rsid w:val="00E31223"/>
    <w:rsid w:val="00E312DB"/>
    <w:rsid w:val="00E323B6"/>
    <w:rsid w:val="00E32888"/>
    <w:rsid w:val="00E32DCD"/>
    <w:rsid w:val="00E346DA"/>
    <w:rsid w:val="00E34909"/>
    <w:rsid w:val="00E350A0"/>
    <w:rsid w:val="00E36AEB"/>
    <w:rsid w:val="00E36BEE"/>
    <w:rsid w:val="00E37A06"/>
    <w:rsid w:val="00E4001E"/>
    <w:rsid w:val="00E41192"/>
    <w:rsid w:val="00E4145A"/>
    <w:rsid w:val="00E414EF"/>
    <w:rsid w:val="00E419CC"/>
    <w:rsid w:val="00E41BEE"/>
    <w:rsid w:val="00E44D82"/>
    <w:rsid w:val="00E467DD"/>
    <w:rsid w:val="00E50577"/>
    <w:rsid w:val="00E50FCA"/>
    <w:rsid w:val="00E53E1C"/>
    <w:rsid w:val="00E541F8"/>
    <w:rsid w:val="00E56165"/>
    <w:rsid w:val="00E56558"/>
    <w:rsid w:val="00E613F4"/>
    <w:rsid w:val="00E647CD"/>
    <w:rsid w:val="00E66899"/>
    <w:rsid w:val="00E67580"/>
    <w:rsid w:val="00E6787F"/>
    <w:rsid w:val="00E70EB5"/>
    <w:rsid w:val="00E71273"/>
    <w:rsid w:val="00E721B3"/>
    <w:rsid w:val="00E723B6"/>
    <w:rsid w:val="00E72478"/>
    <w:rsid w:val="00E72A40"/>
    <w:rsid w:val="00E73322"/>
    <w:rsid w:val="00E74B92"/>
    <w:rsid w:val="00E75BA9"/>
    <w:rsid w:val="00E75F47"/>
    <w:rsid w:val="00E82339"/>
    <w:rsid w:val="00E90767"/>
    <w:rsid w:val="00E91628"/>
    <w:rsid w:val="00E922F0"/>
    <w:rsid w:val="00E9340D"/>
    <w:rsid w:val="00E960FE"/>
    <w:rsid w:val="00E96387"/>
    <w:rsid w:val="00E97AD4"/>
    <w:rsid w:val="00EA2B2D"/>
    <w:rsid w:val="00EA3A84"/>
    <w:rsid w:val="00EA65E1"/>
    <w:rsid w:val="00EA7DB6"/>
    <w:rsid w:val="00EB204F"/>
    <w:rsid w:val="00EB3B2D"/>
    <w:rsid w:val="00EB42A9"/>
    <w:rsid w:val="00EB5D5C"/>
    <w:rsid w:val="00EC239B"/>
    <w:rsid w:val="00EC298B"/>
    <w:rsid w:val="00EC2C2A"/>
    <w:rsid w:val="00EC3993"/>
    <w:rsid w:val="00EC6526"/>
    <w:rsid w:val="00EC65ED"/>
    <w:rsid w:val="00EC6700"/>
    <w:rsid w:val="00ED0573"/>
    <w:rsid w:val="00ED1341"/>
    <w:rsid w:val="00ED3776"/>
    <w:rsid w:val="00ED46C4"/>
    <w:rsid w:val="00ED4A3F"/>
    <w:rsid w:val="00ED5097"/>
    <w:rsid w:val="00ED7C24"/>
    <w:rsid w:val="00EE3572"/>
    <w:rsid w:val="00EE42B3"/>
    <w:rsid w:val="00EE4728"/>
    <w:rsid w:val="00EE49FC"/>
    <w:rsid w:val="00EE5362"/>
    <w:rsid w:val="00EE576A"/>
    <w:rsid w:val="00EE6E17"/>
    <w:rsid w:val="00EF1F86"/>
    <w:rsid w:val="00EF4BE1"/>
    <w:rsid w:val="00EF6760"/>
    <w:rsid w:val="00EF6EA2"/>
    <w:rsid w:val="00F0193C"/>
    <w:rsid w:val="00F0324C"/>
    <w:rsid w:val="00F1164E"/>
    <w:rsid w:val="00F128AF"/>
    <w:rsid w:val="00F139A1"/>
    <w:rsid w:val="00F13A9F"/>
    <w:rsid w:val="00F14915"/>
    <w:rsid w:val="00F154EB"/>
    <w:rsid w:val="00F16B89"/>
    <w:rsid w:val="00F1738B"/>
    <w:rsid w:val="00F210BD"/>
    <w:rsid w:val="00F25F93"/>
    <w:rsid w:val="00F303FC"/>
    <w:rsid w:val="00F332D6"/>
    <w:rsid w:val="00F345EE"/>
    <w:rsid w:val="00F374CA"/>
    <w:rsid w:val="00F3795A"/>
    <w:rsid w:val="00F40254"/>
    <w:rsid w:val="00F416DA"/>
    <w:rsid w:val="00F417F7"/>
    <w:rsid w:val="00F41E84"/>
    <w:rsid w:val="00F42159"/>
    <w:rsid w:val="00F4268C"/>
    <w:rsid w:val="00F4416A"/>
    <w:rsid w:val="00F445BD"/>
    <w:rsid w:val="00F4552D"/>
    <w:rsid w:val="00F46062"/>
    <w:rsid w:val="00F4697D"/>
    <w:rsid w:val="00F54025"/>
    <w:rsid w:val="00F5465D"/>
    <w:rsid w:val="00F56563"/>
    <w:rsid w:val="00F57573"/>
    <w:rsid w:val="00F602E7"/>
    <w:rsid w:val="00F60317"/>
    <w:rsid w:val="00F60944"/>
    <w:rsid w:val="00F61515"/>
    <w:rsid w:val="00F61C07"/>
    <w:rsid w:val="00F61D59"/>
    <w:rsid w:val="00F63118"/>
    <w:rsid w:val="00F65FD8"/>
    <w:rsid w:val="00F66B6C"/>
    <w:rsid w:val="00F71B6F"/>
    <w:rsid w:val="00F73D96"/>
    <w:rsid w:val="00F75021"/>
    <w:rsid w:val="00F76453"/>
    <w:rsid w:val="00F77EF7"/>
    <w:rsid w:val="00F803C0"/>
    <w:rsid w:val="00F81D7A"/>
    <w:rsid w:val="00F82FDF"/>
    <w:rsid w:val="00F83360"/>
    <w:rsid w:val="00F85148"/>
    <w:rsid w:val="00F8652A"/>
    <w:rsid w:val="00F86714"/>
    <w:rsid w:val="00F9031A"/>
    <w:rsid w:val="00F90691"/>
    <w:rsid w:val="00F90896"/>
    <w:rsid w:val="00F91E83"/>
    <w:rsid w:val="00F92C91"/>
    <w:rsid w:val="00F94E34"/>
    <w:rsid w:val="00F95581"/>
    <w:rsid w:val="00F95D50"/>
    <w:rsid w:val="00F96521"/>
    <w:rsid w:val="00F97CCC"/>
    <w:rsid w:val="00F97F74"/>
    <w:rsid w:val="00FA13D1"/>
    <w:rsid w:val="00FA2C92"/>
    <w:rsid w:val="00FA37EE"/>
    <w:rsid w:val="00FA6FA6"/>
    <w:rsid w:val="00FA70C8"/>
    <w:rsid w:val="00FB0532"/>
    <w:rsid w:val="00FB0FE6"/>
    <w:rsid w:val="00FB17F0"/>
    <w:rsid w:val="00FB2720"/>
    <w:rsid w:val="00FB45A9"/>
    <w:rsid w:val="00FB7521"/>
    <w:rsid w:val="00FC1386"/>
    <w:rsid w:val="00FC4C7A"/>
    <w:rsid w:val="00FC54BF"/>
    <w:rsid w:val="00FC7F26"/>
    <w:rsid w:val="00FD0618"/>
    <w:rsid w:val="00FD098E"/>
    <w:rsid w:val="00FD0B89"/>
    <w:rsid w:val="00FD1588"/>
    <w:rsid w:val="00FD1FA1"/>
    <w:rsid w:val="00FD28C4"/>
    <w:rsid w:val="00FD5007"/>
    <w:rsid w:val="00FD511D"/>
    <w:rsid w:val="00FD5699"/>
    <w:rsid w:val="00FD59A2"/>
    <w:rsid w:val="00FD6FC0"/>
    <w:rsid w:val="00FD7457"/>
    <w:rsid w:val="00FD7654"/>
    <w:rsid w:val="00FD7D6A"/>
    <w:rsid w:val="00FE18F6"/>
    <w:rsid w:val="00FE2A15"/>
    <w:rsid w:val="00FE2BCA"/>
    <w:rsid w:val="00FE2D68"/>
    <w:rsid w:val="00FE3332"/>
    <w:rsid w:val="00FE4238"/>
    <w:rsid w:val="00FE4FBA"/>
    <w:rsid w:val="00FE77AC"/>
    <w:rsid w:val="00FE7EF2"/>
    <w:rsid w:val="00FF005F"/>
    <w:rsid w:val="00FF0653"/>
    <w:rsid w:val="00FF3E28"/>
    <w:rsid w:val="00FF4AF3"/>
    <w:rsid w:val="00FF5767"/>
    <w:rsid w:val="00FF608A"/>
    <w:rsid w:val="00FF7E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CCD2F1C-A751-4534-946A-23B0B8824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4CA"/>
    <w:pPr>
      <w:spacing w:before="120" w:after="240"/>
    </w:pPr>
    <w:rPr>
      <w:rFonts w:ascii="Arial" w:hAnsi="Arial"/>
      <w:sz w:val="24"/>
    </w:rPr>
  </w:style>
  <w:style w:type="paragraph" w:styleId="Heading1">
    <w:name w:val="heading 1"/>
    <w:basedOn w:val="Normal"/>
    <w:next w:val="Normal"/>
    <w:link w:val="Heading1Char"/>
    <w:uiPriority w:val="9"/>
    <w:qFormat/>
    <w:rsid w:val="004D5F80"/>
    <w:pPr>
      <w:spacing w:before="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NoSpacing">
    <w:name w:val="No Spacing"/>
    <w:basedOn w:val="Normal"/>
    <w:link w:val="NoSpacingChar"/>
    <w:uiPriority w:val="1"/>
    <w:qFormat/>
    <w:rsid w:val="004B54CA"/>
    <w:pPr>
      <w:spacing w:after="0" w:line="240" w:lineRule="auto"/>
    </w:pPr>
  </w:style>
  <w:style w:type="character" w:customStyle="1" w:styleId="NoSpacingChar">
    <w:name w:val="No Spacing Char"/>
    <w:basedOn w:val="DefaultParagraphFont"/>
    <w:link w:val="NoSpacing"/>
    <w:uiPriority w:val="1"/>
    <w:rsid w:val="004B54CA"/>
    <w:rPr>
      <w:rFonts w:ascii="Arial" w:hAnsi="Arial"/>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Recommendation,List Paragraph1,List Paragraph11,L,Bullet point,NFP GP Bulleted List"/>
    <w:basedOn w:val="Normal"/>
    <w:link w:val="ListParagraphChar"/>
    <w:uiPriority w:val="34"/>
    <w:qFormat/>
    <w:rsid w:val="004B54CA"/>
    <w:pPr>
      <w:ind w:left="720"/>
      <w:contextualSpacing/>
    </w:pPr>
  </w:style>
  <w:style w:type="character" w:customStyle="1" w:styleId="ListParagraphChar">
    <w:name w:val="List Paragraph Char"/>
    <w:aliases w:val="Recommendation Char,List Paragraph1 Char,List Paragraph11 Char,L Char,Bullet point Char,NFP GP Bulleted List Char"/>
    <w:link w:val="ListParagraph"/>
    <w:uiPriority w:val="34"/>
    <w:locked/>
    <w:rsid w:val="00BE06DC"/>
    <w:rPr>
      <w:rFonts w:ascii="Arial" w:hAnsi="Arial"/>
    </w:r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0D630E"/>
    <w:rPr>
      <w:color w:val="652F76"/>
      <w:sz w:val="52"/>
    </w:rPr>
  </w:style>
  <w:style w:type="paragraph" w:styleId="Caption">
    <w:name w:val="caption"/>
    <w:basedOn w:val="Normal"/>
    <w:next w:val="Normal"/>
    <w:link w:val="CaptionChar"/>
    <w:unhideWhenUsed/>
    <w:qFormat/>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paragraph" w:styleId="Header">
    <w:name w:val="header"/>
    <w:basedOn w:val="Normal"/>
    <w:link w:val="HeaderChar"/>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NormalWeb">
    <w:name w:val="Normal (Web)"/>
    <w:basedOn w:val="Normal"/>
    <w:uiPriority w:val="99"/>
    <w:unhideWhenUsed/>
    <w:rsid w:val="006347A9"/>
    <w:pPr>
      <w:spacing w:before="240" w:line="360" w:lineRule="auto"/>
    </w:pPr>
    <w:rPr>
      <w:rFonts w:ascii="Times New Roman" w:eastAsia="Times New Roman" w:hAnsi="Times New Roman" w:cs="Times New Roman"/>
      <w:szCs w:val="24"/>
      <w:lang w:val="en-US"/>
    </w:rPr>
  </w:style>
  <w:style w:type="table" w:styleId="TableGrid">
    <w:name w:val="Table Grid"/>
    <w:basedOn w:val="TableNormal"/>
    <w:uiPriority w:val="39"/>
    <w:rsid w:val="007E2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41">
    <w:name w:val="Grid Table 1 Light - Accent 41"/>
    <w:basedOn w:val="TableNormal"/>
    <w:uiPriority w:val="46"/>
    <w:rsid w:val="008470EA"/>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84293F"/>
    <w:rPr>
      <w:color w:val="0000FF" w:themeColor="hyperlink"/>
      <w:u w:val="single"/>
    </w:rPr>
  </w:style>
  <w:style w:type="character" w:styleId="CommentReference">
    <w:name w:val="annotation reference"/>
    <w:basedOn w:val="DefaultParagraphFont"/>
    <w:uiPriority w:val="99"/>
    <w:unhideWhenUsed/>
    <w:rsid w:val="003E0F0A"/>
    <w:rPr>
      <w:sz w:val="16"/>
      <w:szCs w:val="16"/>
    </w:rPr>
  </w:style>
  <w:style w:type="paragraph" w:styleId="CommentText">
    <w:name w:val="annotation text"/>
    <w:basedOn w:val="Normal"/>
    <w:link w:val="CommentTextChar"/>
    <w:uiPriority w:val="99"/>
    <w:unhideWhenUsed/>
    <w:rsid w:val="003E0F0A"/>
    <w:pPr>
      <w:spacing w:line="240" w:lineRule="auto"/>
    </w:pPr>
    <w:rPr>
      <w:sz w:val="20"/>
      <w:szCs w:val="20"/>
    </w:rPr>
  </w:style>
  <w:style w:type="character" w:customStyle="1" w:styleId="CommentTextChar">
    <w:name w:val="Comment Text Char"/>
    <w:basedOn w:val="DefaultParagraphFont"/>
    <w:link w:val="CommentText"/>
    <w:uiPriority w:val="99"/>
    <w:rsid w:val="003E0F0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E0F0A"/>
    <w:rPr>
      <w:b/>
      <w:bCs/>
    </w:rPr>
  </w:style>
  <w:style w:type="character" w:customStyle="1" w:styleId="CommentSubjectChar">
    <w:name w:val="Comment Subject Char"/>
    <w:basedOn w:val="CommentTextChar"/>
    <w:link w:val="CommentSubject"/>
    <w:uiPriority w:val="99"/>
    <w:semiHidden/>
    <w:rsid w:val="003E0F0A"/>
    <w:rPr>
      <w:rFonts w:ascii="Arial" w:hAnsi="Arial"/>
      <w:b/>
      <w:bCs/>
      <w:sz w:val="20"/>
      <w:szCs w:val="20"/>
    </w:rPr>
  </w:style>
  <w:style w:type="paragraph" w:customStyle="1" w:styleId="Default">
    <w:name w:val="Default"/>
    <w:rsid w:val="009F7F74"/>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9C0C88"/>
    <w:pPr>
      <w:spacing w:after="0" w:line="240" w:lineRule="auto"/>
    </w:pPr>
    <w:rPr>
      <w:rFonts w:ascii="Arial" w:hAnsi="Arial"/>
    </w:rPr>
  </w:style>
  <w:style w:type="paragraph" w:styleId="FootnoteText">
    <w:name w:val="footnote text"/>
    <w:basedOn w:val="Normal"/>
    <w:link w:val="FootnoteTextChar"/>
    <w:uiPriority w:val="99"/>
    <w:semiHidden/>
    <w:unhideWhenUsed/>
    <w:rsid w:val="00475A86"/>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475A86"/>
    <w:rPr>
      <w:sz w:val="20"/>
      <w:szCs w:val="20"/>
    </w:rPr>
  </w:style>
  <w:style w:type="character" w:styleId="FootnoteReference">
    <w:name w:val="footnote reference"/>
    <w:basedOn w:val="DefaultParagraphFont"/>
    <w:uiPriority w:val="99"/>
    <w:semiHidden/>
    <w:unhideWhenUsed/>
    <w:rsid w:val="00475A86"/>
    <w:rPr>
      <w:vertAlign w:val="superscript"/>
    </w:rPr>
  </w:style>
  <w:style w:type="character" w:customStyle="1" w:styleId="tgc">
    <w:name w:val="_tgc"/>
    <w:basedOn w:val="DefaultParagraphFont"/>
    <w:rsid w:val="00165672"/>
  </w:style>
  <w:style w:type="table" w:styleId="GridTable6Colorful-Accent1">
    <w:name w:val="Grid Table 6 Colorful Accent 1"/>
    <w:basedOn w:val="TableNormal"/>
    <w:uiPriority w:val="51"/>
    <w:rsid w:val="00877C67"/>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877C6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68383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5">
    <w:name w:val="Grid Table 4 Accent 5"/>
    <w:basedOn w:val="TableNormal"/>
    <w:uiPriority w:val="49"/>
    <w:rsid w:val="0068383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NoList1">
    <w:name w:val="No List1"/>
    <w:next w:val="NoList"/>
    <w:uiPriority w:val="99"/>
    <w:semiHidden/>
    <w:unhideWhenUsed/>
    <w:rsid w:val="000D0576"/>
  </w:style>
  <w:style w:type="table" w:customStyle="1" w:styleId="TableGrid1">
    <w:name w:val="Table Grid1"/>
    <w:basedOn w:val="TableNormal"/>
    <w:next w:val="TableGrid"/>
    <w:uiPriority w:val="39"/>
    <w:rsid w:val="000D0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0D057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3C1094"/>
    <w:pPr>
      <w:spacing w:after="0" w:line="240" w:lineRule="auto"/>
      <w:ind w:left="220" w:hanging="220"/>
    </w:pPr>
  </w:style>
  <w:style w:type="paragraph" w:styleId="Index2">
    <w:name w:val="index 2"/>
    <w:basedOn w:val="Normal"/>
    <w:next w:val="Normal"/>
    <w:autoRedefine/>
    <w:uiPriority w:val="99"/>
    <w:semiHidden/>
    <w:unhideWhenUsed/>
    <w:rsid w:val="003C1094"/>
    <w:pPr>
      <w:spacing w:after="0" w:line="240" w:lineRule="auto"/>
      <w:ind w:left="440" w:hanging="220"/>
    </w:pPr>
  </w:style>
  <w:style w:type="paragraph" w:styleId="TOC2">
    <w:name w:val="toc 2"/>
    <w:basedOn w:val="Normal"/>
    <w:next w:val="Normal"/>
    <w:autoRedefine/>
    <w:uiPriority w:val="39"/>
    <w:unhideWhenUsed/>
    <w:qFormat/>
    <w:rsid w:val="00B23AAE"/>
    <w:pPr>
      <w:spacing w:after="100" w:line="259" w:lineRule="auto"/>
      <w:ind w:left="220"/>
    </w:pPr>
    <w:rPr>
      <w:rFonts w:asciiTheme="minorHAnsi" w:eastAsiaTheme="minorEastAsia" w:hAnsiTheme="minorHAnsi" w:cs="Times New Roman"/>
      <w:lang w:val="en-US"/>
    </w:rPr>
  </w:style>
  <w:style w:type="paragraph" w:styleId="TOC1">
    <w:name w:val="toc 1"/>
    <w:basedOn w:val="Normal"/>
    <w:next w:val="Normal"/>
    <w:autoRedefine/>
    <w:uiPriority w:val="39"/>
    <w:unhideWhenUsed/>
    <w:qFormat/>
    <w:rsid w:val="00B23AAE"/>
    <w:pPr>
      <w:spacing w:after="100" w:line="259" w:lineRule="auto"/>
    </w:pPr>
    <w:rPr>
      <w:rFonts w:asciiTheme="minorHAnsi" w:eastAsiaTheme="minorEastAsia" w:hAnsiTheme="minorHAnsi" w:cs="Times New Roman"/>
      <w:lang w:val="en-US"/>
    </w:rPr>
  </w:style>
  <w:style w:type="paragraph" w:styleId="TOC3">
    <w:name w:val="toc 3"/>
    <w:basedOn w:val="Normal"/>
    <w:next w:val="Normal"/>
    <w:autoRedefine/>
    <w:uiPriority w:val="39"/>
    <w:unhideWhenUsed/>
    <w:qFormat/>
    <w:rsid w:val="00B23AAE"/>
    <w:pPr>
      <w:spacing w:after="100" w:line="259" w:lineRule="auto"/>
      <w:ind w:left="440"/>
    </w:pPr>
    <w:rPr>
      <w:rFonts w:asciiTheme="minorHAnsi" w:eastAsiaTheme="minorEastAsia" w:hAnsiTheme="minorHAnsi" w:cs="Times New Roman"/>
      <w:lang w:val="en-US"/>
    </w:rPr>
  </w:style>
  <w:style w:type="table" w:customStyle="1" w:styleId="GridTable4-Accent52">
    <w:name w:val="Grid Table 4 - Accent 52"/>
    <w:basedOn w:val="TableNormal"/>
    <w:next w:val="GridTable4-Accent5"/>
    <w:uiPriority w:val="49"/>
    <w:rsid w:val="00DF33E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3">
    <w:name w:val="Grid Table 4 - Accent 53"/>
    <w:basedOn w:val="TableNormal"/>
    <w:next w:val="GridTable4-Accent5"/>
    <w:uiPriority w:val="49"/>
    <w:rsid w:val="00DF33E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4">
    <w:name w:val="Grid Table 4 - Accent 54"/>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5">
    <w:name w:val="Grid Table 4 - Accent 55"/>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6">
    <w:name w:val="Grid Table 4 - Accent 56"/>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7">
    <w:name w:val="Grid Table 4 - Accent 57"/>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8">
    <w:name w:val="Grid Table 4 - Accent 58"/>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9">
    <w:name w:val="Grid Table 4 - Accent 59"/>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0">
    <w:name w:val="Grid Table 4 - Accent 510"/>
    <w:basedOn w:val="TableNormal"/>
    <w:next w:val="GridTable4-Accent5"/>
    <w:uiPriority w:val="49"/>
    <w:rsid w:val="00556B0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1">
    <w:name w:val="Grid Table 4 - Accent 511"/>
    <w:basedOn w:val="TableNormal"/>
    <w:next w:val="GridTable4-Accent5"/>
    <w:uiPriority w:val="49"/>
    <w:rsid w:val="00556B0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2">
    <w:name w:val="Grid Table 4 - Accent 512"/>
    <w:basedOn w:val="TableNormal"/>
    <w:next w:val="GridTable4-Accent5"/>
    <w:uiPriority w:val="49"/>
    <w:rsid w:val="0038735F"/>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3">
    <w:name w:val="Grid Table 4 - Accent 513"/>
    <w:basedOn w:val="TableNormal"/>
    <w:next w:val="GridTable4-Accent5"/>
    <w:uiPriority w:val="49"/>
    <w:rsid w:val="005D3CF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4">
    <w:name w:val="Grid Table 4 - Accent 514"/>
    <w:basedOn w:val="TableNormal"/>
    <w:next w:val="GridTable4-Accent5"/>
    <w:uiPriority w:val="49"/>
    <w:rsid w:val="005D3CF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5">
    <w:name w:val="Grid Table 4 - Accent 515"/>
    <w:basedOn w:val="TableNormal"/>
    <w:next w:val="GridTable4-Accent5"/>
    <w:uiPriority w:val="49"/>
    <w:rsid w:val="009D16F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6">
    <w:name w:val="Grid Table 4 - Accent 516"/>
    <w:basedOn w:val="TableNormal"/>
    <w:next w:val="GridTable4-Accent5"/>
    <w:uiPriority w:val="49"/>
    <w:rsid w:val="009D16F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7">
    <w:name w:val="Grid Table 4 - Accent 517"/>
    <w:basedOn w:val="TableNormal"/>
    <w:next w:val="GridTable4-Accent5"/>
    <w:uiPriority w:val="49"/>
    <w:rsid w:val="00590F8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8">
    <w:name w:val="Grid Table 4 - Accent 518"/>
    <w:basedOn w:val="TableNormal"/>
    <w:next w:val="GridTable4-Accent5"/>
    <w:uiPriority w:val="49"/>
    <w:rsid w:val="00F82FDF"/>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9">
    <w:name w:val="Grid Table 4 - Accent 519"/>
    <w:basedOn w:val="TableNormal"/>
    <w:next w:val="GridTable4-Accent5"/>
    <w:uiPriority w:val="49"/>
    <w:rsid w:val="00221ED8"/>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0">
    <w:name w:val="Grid Table 4 - Accent 520"/>
    <w:basedOn w:val="TableNormal"/>
    <w:next w:val="GridTable4-Accent5"/>
    <w:uiPriority w:val="49"/>
    <w:rsid w:val="00221ED8"/>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1">
    <w:name w:val="Grid Table 4 - Accent 521"/>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2">
    <w:name w:val="Grid Table 4 - Accent 522"/>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3">
    <w:name w:val="Grid Table 4 - Accent 523"/>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4">
    <w:name w:val="Grid Table 4 - Accent 524"/>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5">
    <w:name w:val="Grid Table 4 - Accent 525"/>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6">
    <w:name w:val="Grid Table 4 - Accent 526"/>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7">
    <w:name w:val="Grid Table 4 - Accent 527"/>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EndnoteText">
    <w:name w:val="endnote text"/>
    <w:basedOn w:val="Normal"/>
    <w:link w:val="EndnoteTextChar"/>
    <w:uiPriority w:val="99"/>
    <w:semiHidden/>
    <w:unhideWhenUsed/>
    <w:rsid w:val="007E1EF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E1EFF"/>
    <w:rPr>
      <w:rFonts w:ascii="Arial" w:hAnsi="Arial"/>
      <w:sz w:val="20"/>
      <w:szCs w:val="20"/>
    </w:rPr>
  </w:style>
  <w:style w:type="character" w:styleId="EndnoteReference">
    <w:name w:val="endnote reference"/>
    <w:basedOn w:val="DefaultParagraphFont"/>
    <w:uiPriority w:val="99"/>
    <w:semiHidden/>
    <w:unhideWhenUsed/>
    <w:rsid w:val="007E1EFF"/>
    <w:rPr>
      <w:vertAlign w:val="superscript"/>
    </w:rPr>
  </w:style>
  <w:style w:type="character" w:styleId="FollowedHyperlink">
    <w:name w:val="FollowedHyperlink"/>
    <w:basedOn w:val="DefaultParagraphFont"/>
    <w:uiPriority w:val="99"/>
    <w:semiHidden/>
    <w:unhideWhenUsed/>
    <w:rsid w:val="00DB7464"/>
    <w:rPr>
      <w:color w:val="800080" w:themeColor="followedHyperlink"/>
      <w:u w:val="single"/>
    </w:rPr>
  </w:style>
  <w:style w:type="character" w:customStyle="1" w:styleId="CaptionChar">
    <w:name w:val="Caption Char"/>
    <w:basedOn w:val="DefaultParagraphFont"/>
    <w:link w:val="Caption"/>
    <w:rsid w:val="00252911"/>
    <w:rPr>
      <w:rFonts w:ascii="Arial" w:hAnsi="Arial"/>
      <w:b/>
      <w:bCs/>
      <w:caps/>
      <w:sz w:val="16"/>
      <w:szCs w:val="18"/>
    </w:rPr>
  </w:style>
  <w:style w:type="paragraph" w:customStyle="1" w:styleId="Source">
    <w:name w:val="Source"/>
    <w:basedOn w:val="Normal"/>
    <w:qFormat/>
    <w:rsid w:val="00F374CA"/>
    <w:rPr>
      <w:i/>
      <w:sz w:val="18"/>
    </w:rPr>
  </w:style>
  <w:style w:type="paragraph" w:customStyle="1" w:styleId="Headingcover">
    <w:name w:val="Heading cover"/>
    <w:basedOn w:val="Normal"/>
    <w:qFormat/>
    <w:rsid w:val="001C63AB"/>
    <w:pPr>
      <w:spacing w:before="0" w:after="200" w:line="288" w:lineRule="auto"/>
    </w:pPr>
    <w:rPr>
      <w:rFonts w:eastAsiaTheme="minorEastAsia" w:cs="Arial"/>
      <w:b/>
      <w:color w:val="FFFFFF" w:themeColor="background1"/>
      <w:sz w:val="96"/>
      <w:szCs w:val="96"/>
      <w:lang w:val="en-US" w:eastAsia="ja-JP"/>
    </w:rPr>
  </w:style>
  <w:style w:type="character" w:styleId="PageNumber">
    <w:name w:val="page number"/>
    <w:basedOn w:val="DefaultParagraphFont"/>
    <w:uiPriority w:val="99"/>
    <w:semiHidden/>
    <w:unhideWhenUsed/>
    <w:rsid w:val="001C63AB"/>
  </w:style>
  <w:style w:type="paragraph" w:customStyle="1" w:styleId="tablelistbullet">
    <w:name w:val="table list bullet"/>
    <w:basedOn w:val="ListParagraph"/>
    <w:qFormat/>
    <w:rsid w:val="001C63AB"/>
    <w:pPr>
      <w:numPr>
        <w:numId w:val="10"/>
      </w:numPr>
      <w:tabs>
        <w:tab w:val="num" w:pos="360"/>
      </w:tabs>
      <w:spacing w:before="0" w:after="120" w:line="240" w:lineRule="auto"/>
      <w:ind w:firstLine="0"/>
    </w:pPr>
    <w:rPr>
      <w:rFonts w:eastAsia="MS Mincho" w:cs="FSMe-Bold"/>
      <w:spacing w:val="-2"/>
      <w:sz w:val="20"/>
      <w:szCs w:val="20"/>
      <w:lang w:val="en-US"/>
    </w:rPr>
  </w:style>
  <w:style w:type="paragraph" w:customStyle="1" w:styleId="BodyText1">
    <w:name w:val="Body Text1"/>
    <w:basedOn w:val="Normal"/>
    <w:uiPriority w:val="99"/>
    <w:qFormat/>
    <w:rsid w:val="001C63AB"/>
    <w:pPr>
      <w:spacing w:before="0" w:after="120" w:line="240" w:lineRule="auto"/>
    </w:pPr>
    <w:rPr>
      <w:rFonts w:eastAsia="MS Mincho" w:cs="FSMe-Bold"/>
      <w:spacing w:val="-2"/>
      <w:sz w:val="20"/>
      <w:szCs w:val="20"/>
      <w:lang w:val="en-US"/>
    </w:rPr>
  </w:style>
  <w:style w:type="table" w:styleId="LightShading-Accent4">
    <w:name w:val="Light Shading Accent 4"/>
    <w:basedOn w:val="TableNormal"/>
    <w:uiPriority w:val="60"/>
    <w:rsid w:val="001C63AB"/>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1C63AB"/>
    <w:pPr>
      <w:widowControl w:val="0"/>
      <w:suppressAutoHyphens/>
      <w:autoSpaceDE w:val="0"/>
      <w:autoSpaceDN w:val="0"/>
      <w:adjustRightInd w:val="0"/>
      <w:spacing w:before="0" w:after="200" w:line="24" w:lineRule="atLeast"/>
      <w:textAlignment w:val="center"/>
    </w:pPr>
    <w:rPr>
      <w:rFonts w:eastAsiaTheme="minorEastAsia" w:cs="Arial"/>
      <w:color w:val="000000"/>
      <w:sz w:val="22"/>
      <w:lang w:val="en-US" w:eastAsia="ja-JP"/>
    </w:rPr>
  </w:style>
  <w:style w:type="paragraph" w:styleId="ListBullet">
    <w:name w:val="List Bullet"/>
    <w:basedOn w:val="Normal"/>
    <w:autoRedefine/>
    <w:uiPriority w:val="99"/>
    <w:unhideWhenUsed/>
    <w:qFormat/>
    <w:rsid w:val="001C63AB"/>
    <w:pPr>
      <w:numPr>
        <w:numId w:val="14"/>
      </w:numPr>
      <w:pBdr>
        <w:top w:val="single" w:sz="4" w:space="1" w:color="auto"/>
        <w:left w:val="single" w:sz="4" w:space="1" w:color="auto"/>
        <w:bottom w:val="single" w:sz="4" w:space="1" w:color="auto"/>
        <w:right w:val="single" w:sz="4" w:space="1" w:color="auto"/>
      </w:pBdr>
      <w:shd w:val="clear" w:color="auto" w:fill="F2F2F2" w:themeFill="background1" w:themeFillShade="F2"/>
      <w:spacing w:after="200" w:line="240" w:lineRule="auto"/>
    </w:pPr>
    <w:rPr>
      <w:rFonts w:eastAsiaTheme="minorEastAsia" w:cs="Arial"/>
      <w:spacing w:val="-3"/>
      <w:kern w:val="1"/>
      <w:sz w:val="22"/>
      <w:szCs w:val="20"/>
      <w:lang w:val="en-GB"/>
    </w:rPr>
  </w:style>
  <w:style w:type="paragraph" w:styleId="TOC4">
    <w:name w:val="toc 4"/>
    <w:basedOn w:val="Normal"/>
    <w:next w:val="Normal"/>
    <w:autoRedefine/>
    <w:uiPriority w:val="39"/>
    <w:unhideWhenUsed/>
    <w:rsid w:val="001C63AB"/>
    <w:pPr>
      <w:spacing w:before="0" w:after="100" w:line="288" w:lineRule="auto"/>
      <w:ind w:left="660"/>
    </w:pPr>
    <w:rPr>
      <w:rFonts w:eastAsiaTheme="minorEastAsia"/>
      <w:sz w:val="22"/>
      <w:szCs w:val="24"/>
      <w:lang w:val="en-US" w:eastAsia="ja-JP"/>
    </w:rPr>
  </w:style>
  <w:style w:type="paragraph" w:styleId="TOC5">
    <w:name w:val="toc 5"/>
    <w:basedOn w:val="Normal"/>
    <w:next w:val="Normal"/>
    <w:autoRedefine/>
    <w:uiPriority w:val="39"/>
    <w:unhideWhenUsed/>
    <w:rsid w:val="001C63AB"/>
    <w:pPr>
      <w:spacing w:before="0" w:after="100" w:line="288" w:lineRule="auto"/>
      <w:ind w:left="880"/>
    </w:pPr>
    <w:rPr>
      <w:rFonts w:eastAsiaTheme="minorEastAsia"/>
      <w:sz w:val="22"/>
      <w:szCs w:val="24"/>
      <w:lang w:val="en-US" w:eastAsia="ja-JP"/>
    </w:rPr>
  </w:style>
  <w:style w:type="paragraph" w:customStyle="1" w:styleId="NDISDivision">
    <w:name w:val="NDIS Division"/>
    <w:basedOn w:val="Heading3"/>
    <w:next w:val="NDISSubdivision"/>
    <w:rsid w:val="001C63AB"/>
    <w:pPr>
      <w:keepNext/>
      <w:keepLines/>
      <w:numPr>
        <w:ilvl w:val="2"/>
        <w:numId w:val="31"/>
      </w:numPr>
      <w:spacing w:before="480" w:after="0" w:line="280" w:lineRule="atLeast"/>
    </w:pPr>
    <w:rPr>
      <w:rFonts w:eastAsia="Times New Roman" w:cs="Arial"/>
      <w:color w:val="auto"/>
      <w:sz w:val="28"/>
      <w:szCs w:val="26"/>
      <w:lang w:eastAsia="en-AU"/>
    </w:rPr>
  </w:style>
  <w:style w:type="paragraph" w:customStyle="1" w:styleId="NDISPart">
    <w:name w:val="NDIS Part"/>
    <w:basedOn w:val="Heading2"/>
    <w:next w:val="NDISDivision"/>
    <w:rsid w:val="001C63AB"/>
    <w:pPr>
      <w:keepNext/>
      <w:keepLines/>
      <w:pageBreakBefore/>
      <w:numPr>
        <w:ilvl w:val="1"/>
        <w:numId w:val="31"/>
      </w:numPr>
      <w:spacing w:before="0" w:after="0" w:line="280" w:lineRule="atLeast"/>
    </w:pPr>
    <w:rPr>
      <w:rFonts w:eastAsia="Times New Roman" w:cs="Arial"/>
      <w:iCs/>
      <w:sz w:val="32"/>
      <w:szCs w:val="28"/>
      <w:lang w:eastAsia="en-AU"/>
    </w:rPr>
  </w:style>
  <w:style w:type="paragraph" w:customStyle="1" w:styleId="NDISSubdivision">
    <w:name w:val="NDIS Subdivision"/>
    <w:basedOn w:val="NDISDivision"/>
    <w:next w:val="NDISSubsection"/>
    <w:rsid w:val="001C63AB"/>
    <w:pPr>
      <w:numPr>
        <w:ilvl w:val="3"/>
      </w:numPr>
      <w:tabs>
        <w:tab w:val="clear" w:pos="1701"/>
        <w:tab w:val="num" w:pos="360"/>
      </w:tabs>
    </w:pPr>
    <w:rPr>
      <w:sz w:val="26"/>
    </w:rPr>
  </w:style>
  <w:style w:type="paragraph" w:customStyle="1" w:styleId="NDISSubsection">
    <w:name w:val="NDIS Subsection"/>
    <w:basedOn w:val="Normal"/>
    <w:rsid w:val="001C63AB"/>
    <w:pPr>
      <w:numPr>
        <w:ilvl w:val="4"/>
        <w:numId w:val="31"/>
      </w:numPr>
      <w:spacing w:before="240" w:after="40" w:line="280" w:lineRule="atLeast"/>
    </w:pPr>
    <w:rPr>
      <w:rFonts w:eastAsia="Times New Roman" w:cs="Arial"/>
      <w:sz w:val="22"/>
      <w:lang w:eastAsia="en-AU"/>
    </w:rPr>
  </w:style>
  <w:style w:type="paragraph" w:customStyle="1" w:styleId="NDISParagraph">
    <w:name w:val="NDIS Paragraph"/>
    <w:basedOn w:val="Normal"/>
    <w:rsid w:val="001C63AB"/>
    <w:pPr>
      <w:numPr>
        <w:ilvl w:val="5"/>
        <w:numId w:val="31"/>
      </w:numPr>
      <w:spacing w:before="80" w:after="40" w:line="280" w:lineRule="atLeast"/>
    </w:pPr>
    <w:rPr>
      <w:rFonts w:eastAsia="Times New Roman" w:cs="Arial"/>
      <w:sz w:val="22"/>
      <w:lang w:eastAsia="en-AU"/>
    </w:rPr>
  </w:style>
  <w:style w:type="paragraph" w:customStyle="1" w:styleId="NDISSubparagraph">
    <w:name w:val="NDIS Subparagraph"/>
    <w:basedOn w:val="NDISParagraph"/>
    <w:rsid w:val="001C63AB"/>
    <w:pPr>
      <w:numPr>
        <w:ilvl w:val="6"/>
      </w:numPr>
    </w:pPr>
  </w:style>
  <w:style w:type="paragraph" w:customStyle="1" w:styleId="NDISSubsubparagraph">
    <w:name w:val="NDIS Subsubparagraph"/>
    <w:basedOn w:val="NDISParagraph"/>
    <w:rsid w:val="001C63AB"/>
    <w:pPr>
      <w:numPr>
        <w:ilvl w:val="7"/>
      </w:numPr>
    </w:pPr>
  </w:style>
  <w:style w:type="paragraph" w:customStyle="1" w:styleId="NDISSandwich">
    <w:name w:val="NDIS Sandwich"/>
    <w:basedOn w:val="NDISSubsection"/>
    <w:next w:val="NDISSubsection"/>
    <w:rsid w:val="001C63AB"/>
    <w:pPr>
      <w:numPr>
        <w:ilvl w:val="0"/>
        <w:numId w:val="0"/>
      </w:numPr>
      <w:spacing w:before="80"/>
      <w:ind w:left="567"/>
    </w:pPr>
  </w:style>
  <w:style w:type="character" w:styleId="PlaceholderText">
    <w:name w:val="Placeholder Text"/>
    <w:basedOn w:val="DefaultParagraphFont"/>
    <w:uiPriority w:val="99"/>
    <w:semiHidden/>
    <w:rsid w:val="002D5FB8"/>
    <w:rPr>
      <w:color w:val="808080"/>
    </w:rPr>
  </w:style>
  <w:style w:type="paragraph" w:customStyle="1" w:styleId="PlainParagraph">
    <w:name w:val="Plain Paragraph"/>
    <w:aliases w:val="PP"/>
    <w:basedOn w:val="Normal"/>
    <w:link w:val="PlainParagraphChar"/>
    <w:qFormat/>
    <w:rsid w:val="00FA70C8"/>
    <w:pPr>
      <w:spacing w:before="140" w:after="140" w:line="280" w:lineRule="atLeast"/>
    </w:pPr>
    <w:rPr>
      <w:rFonts w:eastAsia="Times New Roman" w:cs="Arial"/>
      <w:sz w:val="22"/>
      <w:lang w:eastAsia="en-AU"/>
    </w:rPr>
  </w:style>
  <w:style w:type="character" w:customStyle="1" w:styleId="PlainParagraphChar">
    <w:name w:val="Plain Paragraph Char"/>
    <w:aliases w:val="PP Char"/>
    <w:basedOn w:val="DefaultParagraphFont"/>
    <w:link w:val="PlainParagraph"/>
    <w:rsid w:val="00FA70C8"/>
    <w:rPr>
      <w:rFonts w:ascii="Arial" w:eastAsia="Times New Roman" w:hAnsi="Arial" w:cs="Arial"/>
      <w:lang w:eastAsia="en-AU"/>
    </w:rPr>
  </w:style>
  <w:style w:type="paragraph" w:customStyle="1" w:styleId="Dot1">
    <w:name w:val="Dot1"/>
    <w:aliases w:val="DOT"/>
    <w:basedOn w:val="Normal"/>
    <w:link w:val="Dot1Char"/>
    <w:uiPriority w:val="2"/>
    <w:qFormat/>
    <w:rsid w:val="001621EB"/>
    <w:pPr>
      <w:numPr>
        <w:ilvl w:val="1"/>
        <w:numId w:val="36"/>
      </w:numPr>
      <w:spacing w:before="0" w:after="140" w:line="280" w:lineRule="atLeast"/>
    </w:pPr>
    <w:rPr>
      <w:rFonts w:eastAsia="Times New Roman" w:cs="Arial"/>
      <w:sz w:val="22"/>
      <w:lang w:eastAsia="en-AU"/>
    </w:rPr>
  </w:style>
  <w:style w:type="character" w:customStyle="1" w:styleId="Dot1Char">
    <w:name w:val="Dot1 Char"/>
    <w:aliases w:val="DOT Char"/>
    <w:basedOn w:val="DefaultParagraphFont"/>
    <w:link w:val="Dot1"/>
    <w:uiPriority w:val="2"/>
    <w:rsid w:val="001621EB"/>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725143">
      <w:bodyDiv w:val="1"/>
      <w:marLeft w:val="0"/>
      <w:marRight w:val="0"/>
      <w:marTop w:val="0"/>
      <w:marBottom w:val="0"/>
      <w:divBdr>
        <w:top w:val="none" w:sz="0" w:space="0" w:color="auto"/>
        <w:left w:val="none" w:sz="0" w:space="0" w:color="auto"/>
        <w:bottom w:val="none" w:sz="0" w:space="0" w:color="auto"/>
        <w:right w:val="none" w:sz="0" w:space="0" w:color="auto"/>
      </w:divBdr>
      <w:divsChild>
        <w:div w:id="1970161326">
          <w:marLeft w:val="0"/>
          <w:marRight w:val="0"/>
          <w:marTop w:val="0"/>
          <w:marBottom w:val="0"/>
          <w:divBdr>
            <w:top w:val="none" w:sz="0" w:space="0" w:color="auto"/>
            <w:left w:val="none" w:sz="0" w:space="0" w:color="auto"/>
            <w:bottom w:val="none" w:sz="0" w:space="0" w:color="auto"/>
            <w:right w:val="none" w:sz="0" w:space="0" w:color="auto"/>
          </w:divBdr>
          <w:divsChild>
            <w:div w:id="145443695">
              <w:marLeft w:val="0"/>
              <w:marRight w:val="0"/>
              <w:marTop w:val="0"/>
              <w:marBottom w:val="0"/>
              <w:divBdr>
                <w:top w:val="none" w:sz="0" w:space="0" w:color="auto"/>
                <w:left w:val="none" w:sz="0" w:space="0" w:color="auto"/>
                <w:bottom w:val="none" w:sz="0" w:space="0" w:color="auto"/>
                <w:right w:val="none" w:sz="0" w:space="0" w:color="auto"/>
              </w:divBdr>
              <w:divsChild>
                <w:div w:id="1331979541">
                  <w:marLeft w:val="0"/>
                  <w:marRight w:val="0"/>
                  <w:marTop w:val="0"/>
                  <w:marBottom w:val="0"/>
                  <w:divBdr>
                    <w:top w:val="none" w:sz="0" w:space="0" w:color="auto"/>
                    <w:left w:val="none" w:sz="0" w:space="0" w:color="auto"/>
                    <w:bottom w:val="none" w:sz="0" w:space="0" w:color="auto"/>
                    <w:right w:val="none" w:sz="0" w:space="0" w:color="auto"/>
                  </w:divBdr>
                  <w:divsChild>
                    <w:div w:id="1930504650">
                      <w:marLeft w:val="0"/>
                      <w:marRight w:val="0"/>
                      <w:marTop w:val="0"/>
                      <w:marBottom w:val="0"/>
                      <w:divBdr>
                        <w:top w:val="none" w:sz="0" w:space="0" w:color="auto"/>
                        <w:left w:val="none" w:sz="0" w:space="0" w:color="auto"/>
                        <w:bottom w:val="none" w:sz="0" w:space="0" w:color="auto"/>
                        <w:right w:val="none" w:sz="0" w:space="0" w:color="auto"/>
                      </w:divBdr>
                      <w:divsChild>
                        <w:div w:id="15861126">
                          <w:marLeft w:val="0"/>
                          <w:marRight w:val="0"/>
                          <w:marTop w:val="0"/>
                          <w:marBottom w:val="0"/>
                          <w:divBdr>
                            <w:top w:val="none" w:sz="0" w:space="0" w:color="auto"/>
                            <w:left w:val="none" w:sz="0" w:space="0" w:color="auto"/>
                            <w:bottom w:val="none" w:sz="0" w:space="0" w:color="auto"/>
                            <w:right w:val="none" w:sz="0" w:space="0" w:color="auto"/>
                          </w:divBdr>
                          <w:divsChild>
                            <w:div w:id="1040474826">
                              <w:marLeft w:val="0"/>
                              <w:marRight w:val="0"/>
                              <w:marTop w:val="0"/>
                              <w:marBottom w:val="0"/>
                              <w:divBdr>
                                <w:top w:val="none" w:sz="0" w:space="0" w:color="auto"/>
                                <w:left w:val="none" w:sz="0" w:space="0" w:color="auto"/>
                                <w:bottom w:val="none" w:sz="0" w:space="0" w:color="auto"/>
                                <w:right w:val="none" w:sz="0" w:space="0" w:color="auto"/>
                              </w:divBdr>
                              <w:divsChild>
                                <w:div w:id="944845082">
                                  <w:marLeft w:val="0"/>
                                  <w:marRight w:val="0"/>
                                  <w:marTop w:val="0"/>
                                  <w:marBottom w:val="0"/>
                                  <w:divBdr>
                                    <w:top w:val="none" w:sz="0" w:space="0" w:color="auto"/>
                                    <w:left w:val="none" w:sz="0" w:space="0" w:color="auto"/>
                                    <w:bottom w:val="none" w:sz="0" w:space="0" w:color="auto"/>
                                    <w:right w:val="none" w:sz="0" w:space="0" w:color="auto"/>
                                  </w:divBdr>
                                  <w:divsChild>
                                    <w:div w:id="189615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1962383">
      <w:bodyDiv w:val="1"/>
      <w:marLeft w:val="0"/>
      <w:marRight w:val="0"/>
      <w:marTop w:val="0"/>
      <w:marBottom w:val="0"/>
      <w:divBdr>
        <w:top w:val="none" w:sz="0" w:space="0" w:color="auto"/>
        <w:left w:val="none" w:sz="0" w:space="0" w:color="auto"/>
        <w:bottom w:val="none" w:sz="0" w:space="0" w:color="auto"/>
        <w:right w:val="none" w:sz="0" w:space="0" w:color="auto"/>
      </w:divBdr>
      <w:divsChild>
        <w:div w:id="2020622584">
          <w:marLeft w:val="0"/>
          <w:marRight w:val="0"/>
          <w:marTop w:val="0"/>
          <w:marBottom w:val="0"/>
          <w:divBdr>
            <w:top w:val="none" w:sz="0" w:space="0" w:color="auto"/>
            <w:left w:val="none" w:sz="0" w:space="0" w:color="auto"/>
            <w:bottom w:val="none" w:sz="0" w:space="0" w:color="auto"/>
            <w:right w:val="none" w:sz="0" w:space="0" w:color="auto"/>
          </w:divBdr>
          <w:divsChild>
            <w:div w:id="1215656874">
              <w:marLeft w:val="0"/>
              <w:marRight w:val="0"/>
              <w:marTop w:val="0"/>
              <w:marBottom w:val="0"/>
              <w:divBdr>
                <w:top w:val="none" w:sz="0" w:space="0" w:color="auto"/>
                <w:left w:val="none" w:sz="0" w:space="0" w:color="auto"/>
                <w:bottom w:val="none" w:sz="0" w:space="0" w:color="auto"/>
                <w:right w:val="none" w:sz="0" w:space="0" w:color="auto"/>
              </w:divBdr>
              <w:divsChild>
                <w:div w:id="756635449">
                  <w:marLeft w:val="0"/>
                  <w:marRight w:val="0"/>
                  <w:marTop w:val="0"/>
                  <w:marBottom w:val="0"/>
                  <w:divBdr>
                    <w:top w:val="none" w:sz="0" w:space="0" w:color="auto"/>
                    <w:left w:val="none" w:sz="0" w:space="0" w:color="auto"/>
                    <w:bottom w:val="none" w:sz="0" w:space="0" w:color="auto"/>
                    <w:right w:val="none" w:sz="0" w:space="0" w:color="auto"/>
                  </w:divBdr>
                  <w:divsChild>
                    <w:div w:id="685710709">
                      <w:marLeft w:val="0"/>
                      <w:marRight w:val="0"/>
                      <w:marTop w:val="0"/>
                      <w:marBottom w:val="0"/>
                      <w:divBdr>
                        <w:top w:val="none" w:sz="0" w:space="0" w:color="auto"/>
                        <w:left w:val="none" w:sz="0" w:space="0" w:color="auto"/>
                        <w:bottom w:val="none" w:sz="0" w:space="0" w:color="auto"/>
                        <w:right w:val="none" w:sz="0" w:space="0" w:color="auto"/>
                      </w:divBdr>
                      <w:divsChild>
                        <w:div w:id="872960824">
                          <w:marLeft w:val="0"/>
                          <w:marRight w:val="0"/>
                          <w:marTop w:val="0"/>
                          <w:marBottom w:val="0"/>
                          <w:divBdr>
                            <w:top w:val="none" w:sz="0" w:space="0" w:color="auto"/>
                            <w:left w:val="none" w:sz="0" w:space="0" w:color="auto"/>
                            <w:bottom w:val="none" w:sz="0" w:space="0" w:color="auto"/>
                            <w:right w:val="none" w:sz="0" w:space="0" w:color="auto"/>
                          </w:divBdr>
                          <w:divsChild>
                            <w:div w:id="140536934">
                              <w:marLeft w:val="0"/>
                              <w:marRight w:val="0"/>
                              <w:marTop w:val="0"/>
                              <w:marBottom w:val="0"/>
                              <w:divBdr>
                                <w:top w:val="none" w:sz="0" w:space="0" w:color="auto"/>
                                <w:left w:val="none" w:sz="0" w:space="0" w:color="auto"/>
                                <w:bottom w:val="none" w:sz="0" w:space="0" w:color="auto"/>
                                <w:right w:val="none" w:sz="0" w:space="0" w:color="auto"/>
                              </w:divBdr>
                              <w:divsChild>
                                <w:div w:id="1931695173">
                                  <w:marLeft w:val="0"/>
                                  <w:marRight w:val="0"/>
                                  <w:marTop w:val="0"/>
                                  <w:marBottom w:val="0"/>
                                  <w:divBdr>
                                    <w:top w:val="none" w:sz="0" w:space="0" w:color="auto"/>
                                    <w:left w:val="none" w:sz="0" w:space="0" w:color="auto"/>
                                    <w:bottom w:val="none" w:sz="0" w:space="0" w:color="auto"/>
                                    <w:right w:val="none" w:sz="0" w:space="0" w:color="auto"/>
                                  </w:divBdr>
                                  <w:divsChild>
                                    <w:div w:id="14726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517217">
      <w:bodyDiv w:val="1"/>
      <w:marLeft w:val="0"/>
      <w:marRight w:val="0"/>
      <w:marTop w:val="0"/>
      <w:marBottom w:val="0"/>
      <w:divBdr>
        <w:top w:val="none" w:sz="0" w:space="0" w:color="auto"/>
        <w:left w:val="none" w:sz="0" w:space="0" w:color="auto"/>
        <w:bottom w:val="none" w:sz="0" w:space="0" w:color="auto"/>
        <w:right w:val="none" w:sz="0" w:space="0" w:color="auto"/>
      </w:divBdr>
      <w:divsChild>
        <w:div w:id="438067340">
          <w:marLeft w:val="0"/>
          <w:marRight w:val="0"/>
          <w:marTop w:val="0"/>
          <w:marBottom w:val="0"/>
          <w:divBdr>
            <w:top w:val="none" w:sz="0" w:space="0" w:color="auto"/>
            <w:left w:val="none" w:sz="0" w:space="0" w:color="auto"/>
            <w:bottom w:val="none" w:sz="0" w:space="0" w:color="auto"/>
            <w:right w:val="none" w:sz="0" w:space="0" w:color="auto"/>
          </w:divBdr>
          <w:divsChild>
            <w:div w:id="726104243">
              <w:marLeft w:val="0"/>
              <w:marRight w:val="0"/>
              <w:marTop w:val="0"/>
              <w:marBottom w:val="0"/>
              <w:divBdr>
                <w:top w:val="none" w:sz="0" w:space="0" w:color="auto"/>
                <w:left w:val="none" w:sz="0" w:space="0" w:color="auto"/>
                <w:bottom w:val="none" w:sz="0" w:space="0" w:color="auto"/>
                <w:right w:val="none" w:sz="0" w:space="0" w:color="auto"/>
              </w:divBdr>
              <w:divsChild>
                <w:div w:id="583996455">
                  <w:marLeft w:val="0"/>
                  <w:marRight w:val="0"/>
                  <w:marTop w:val="0"/>
                  <w:marBottom w:val="0"/>
                  <w:divBdr>
                    <w:top w:val="none" w:sz="0" w:space="0" w:color="auto"/>
                    <w:left w:val="none" w:sz="0" w:space="0" w:color="auto"/>
                    <w:bottom w:val="none" w:sz="0" w:space="0" w:color="auto"/>
                    <w:right w:val="none" w:sz="0" w:space="0" w:color="auto"/>
                  </w:divBdr>
                  <w:divsChild>
                    <w:div w:id="587470250">
                      <w:marLeft w:val="0"/>
                      <w:marRight w:val="0"/>
                      <w:marTop w:val="0"/>
                      <w:marBottom w:val="0"/>
                      <w:divBdr>
                        <w:top w:val="none" w:sz="0" w:space="0" w:color="auto"/>
                        <w:left w:val="none" w:sz="0" w:space="0" w:color="auto"/>
                        <w:bottom w:val="none" w:sz="0" w:space="0" w:color="auto"/>
                        <w:right w:val="none" w:sz="0" w:space="0" w:color="auto"/>
                      </w:divBdr>
                      <w:divsChild>
                        <w:div w:id="873999898">
                          <w:marLeft w:val="0"/>
                          <w:marRight w:val="0"/>
                          <w:marTop w:val="0"/>
                          <w:marBottom w:val="0"/>
                          <w:divBdr>
                            <w:top w:val="none" w:sz="0" w:space="0" w:color="auto"/>
                            <w:left w:val="none" w:sz="0" w:space="0" w:color="auto"/>
                            <w:bottom w:val="none" w:sz="0" w:space="0" w:color="auto"/>
                            <w:right w:val="none" w:sz="0" w:space="0" w:color="auto"/>
                          </w:divBdr>
                          <w:divsChild>
                            <w:div w:id="1793941392">
                              <w:marLeft w:val="0"/>
                              <w:marRight w:val="0"/>
                              <w:marTop w:val="0"/>
                              <w:marBottom w:val="0"/>
                              <w:divBdr>
                                <w:top w:val="none" w:sz="0" w:space="0" w:color="auto"/>
                                <w:left w:val="none" w:sz="0" w:space="0" w:color="auto"/>
                                <w:bottom w:val="none" w:sz="0" w:space="0" w:color="auto"/>
                                <w:right w:val="none" w:sz="0" w:space="0" w:color="auto"/>
                              </w:divBdr>
                              <w:divsChild>
                                <w:div w:id="278756110">
                                  <w:marLeft w:val="0"/>
                                  <w:marRight w:val="0"/>
                                  <w:marTop w:val="0"/>
                                  <w:marBottom w:val="0"/>
                                  <w:divBdr>
                                    <w:top w:val="none" w:sz="0" w:space="0" w:color="auto"/>
                                    <w:left w:val="none" w:sz="0" w:space="0" w:color="auto"/>
                                    <w:bottom w:val="none" w:sz="0" w:space="0" w:color="auto"/>
                                    <w:right w:val="none" w:sz="0" w:space="0" w:color="auto"/>
                                  </w:divBdr>
                                  <w:divsChild>
                                    <w:div w:id="9942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60002">
      <w:bodyDiv w:val="1"/>
      <w:marLeft w:val="0"/>
      <w:marRight w:val="0"/>
      <w:marTop w:val="0"/>
      <w:marBottom w:val="0"/>
      <w:divBdr>
        <w:top w:val="none" w:sz="0" w:space="0" w:color="auto"/>
        <w:left w:val="none" w:sz="0" w:space="0" w:color="auto"/>
        <w:bottom w:val="none" w:sz="0" w:space="0" w:color="auto"/>
        <w:right w:val="none" w:sz="0" w:space="0" w:color="auto"/>
      </w:divBdr>
      <w:divsChild>
        <w:div w:id="1796633255">
          <w:marLeft w:val="0"/>
          <w:marRight w:val="0"/>
          <w:marTop w:val="0"/>
          <w:marBottom w:val="0"/>
          <w:divBdr>
            <w:top w:val="none" w:sz="0" w:space="0" w:color="auto"/>
            <w:left w:val="none" w:sz="0" w:space="0" w:color="auto"/>
            <w:bottom w:val="none" w:sz="0" w:space="0" w:color="auto"/>
            <w:right w:val="none" w:sz="0" w:space="0" w:color="auto"/>
          </w:divBdr>
          <w:divsChild>
            <w:div w:id="1565867715">
              <w:marLeft w:val="0"/>
              <w:marRight w:val="0"/>
              <w:marTop w:val="0"/>
              <w:marBottom w:val="0"/>
              <w:divBdr>
                <w:top w:val="none" w:sz="0" w:space="0" w:color="auto"/>
                <w:left w:val="none" w:sz="0" w:space="0" w:color="auto"/>
                <w:bottom w:val="none" w:sz="0" w:space="0" w:color="auto"/>
                <w:right w:val="none" w:sz="0" w:space="0" w:color="auto"/>
              </w:divBdr>
              <w:divsChild>
                <w:div w:id="1335648535">
                  <w:marLeft w:val="0"/>
                  <w:marRight w:val="0"/>
                  <w:marTop w:val="0"/>
                  <w:marBottom w:val="0"/>
                  <w:divBdr>
                    <w:top w:val="none" w:sz="0" w:space="0" w:color="auto"/>
                    <w:left w:val="none" w:sz="0" w:space="0" w:color="auto"/>
                    <w:bottom w:val="none" w:sz="0" w:space="0" w:color="auto"/>
                    <w:right w:val="none" w:sz="0" w:space="0" w:color="auto"/>
                  </w:divBdr>
                  <w:divsChild>
                    <w:div w:id="1584530895">
                      <w:marLeft w:val="0"/>
                      <w:marRight w:val="0"/>
                      <w:marTop w:val="0"/>
                      <w:marBottom w:val="0"/>
                      <w:divBdr>
                        <w:top w:val="none" w:sz="0" w:space="0" w:color="auto"/>
                        <w:left w:val="none" w:sz="0" w:space="0" w:color="auto"/>
                        <w:bottom w:val="none" w:sz="0" w:space="0" w:color="auto"/>
                        <w:right w:val="none" w:sz="0" w:space="0" w:color="auto"/>
                      </w:divBdr>
                      <w:divsChild>
                        <w:div w:id="253516478">
                          <w:marLeft w:val="0"/>
                          <w:marRight w:val="0"/>
                          <w:marTop w:val="0"/>
                          <w:marBottom w:val="0"/>
                          <w:divBdr>
                            <w:top w:val="none" w:sz="0" w:space="0" w:color="auto"/>
                            <w:left w:val="none" w:sz="0" w:space="0" w:color="auto"/>
                            <w:bottom w:val="none" w:sz="0" w:space="0" w:color="auto"/>
                            <w:right w:val="none" w:sz="0" w:space="0" w:color="auto"/>
                          </w:divBdr>
                          <w:divsChild>
                            <w:div w:id="1441878476">
                              <w:marLeft w:val="0"/>
                              <w:marRight w:val="0"/>
                              <w:marTop w:val="0"/>
                              <w:marBottom w:val="0"/>
                              <w:divBdr>
                                <w:top w:val="none" w:sz="0" w:space="0" w:color="auto"/>
                                <w:left w:val="none" w:sz="0" w:space="0" w:color="auto"/>
                                <w:bottom w:val="none" w:sz="0" w:space="0" w:color="auto"/>
                                <w:right w:val="none" w:sz="0" w:space="0" w:color="auto"/>
                              </w:divBdr>
                              <w:divsChild>
                                <w:div w:id="1387995791">
                                  <w:marLeft w:val="0"/>
                                  <w:marRight w:val="0"/>
                                  <w:marTop w:val="0"/>
                                  <w:marBottom w:val="0"/>
                                  <w:divBdr>
                                    <w:top w:val="none" w:sz="0" w:space="0" w:color="auto"/>
                                    <w:left w:val="none" w:sz="0" w:space="0" w:color="auto"/>
                                    <w:bottom w:val="none" w:sz="0" w:space="0" w:color="auto"/>
                                    <w:right w:val="none" w:sz="0" w:space="0" w:color="auto"/>
                                  </w:divBdr>
                                  <w:divsChild>
                                    <w:div w:id="178700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5252087">
      <w:bodyDiv w:val="1"/>
      <w:marLeft w:val="0"/>
      <w:marRight w:val="0"/>
      <w:marTop w:val="0"/>
      <w:marBottom w:val="0"/>
      <w:divBdr>
        <w:top w:val="none" w:sz="0" w:space="0" w:color="auto"/>
        <w:left w:val="none" w:sz="0" w:space="0" w:color="auto"/>
        <w:bottom w:val="none" w:sz="0" w:space="0" w:color="auto"/>
        <w:right w:val="none" w:sz="0" w:space="0" w:color="auto"/>
      </w:divBdr>
    </w:div>
    <w:div w:id="379524650">
      <w:bodyDiv w:val="1"/>
      <w:marLeft w:val="0"/>
      <w:marRight w:val="0"/>
      <w:marTop w:val="0"/>
      <w:marBottom w:val="0"/>
      <w:divBdr>
        <w:top w:val="none" w:sz="0" w:space="0" w:color="auto"/>
        <w:left w:val="none" w:sz="0" w:space="0" w:color="auto"/>
        <w:bottom w:val="none" w:sz="0" w:space="0" w:color="auto"/>
        <w:right w:val="none" w:sz="0" w:space="0" w:color="auto"/>
      </w:divBdr>
    </w:div>
    <w:div w:id="497311591">
      <w:bodyDiv w:val="1"/>
      <w:marLeft w:val="0"/>
      <w:marRight w:val="0"/>
      <w:marTop w:val="0"/>
      <w:marBottom w:val="0"/>
      <w:divBdr>
        <w:top w:val="none" w:sz="0" w:space="0" w:color="auto"/>
        <w:left w:val="none" w:sz="0" w:space="0" w:color="auto"/>
        <w:bottom w:val="none" w:sz="0" w:space="0" w:color="auto"/>
        <w:right w:val="none" w:sz="0" w:space="0" w:color="auto"/>
      </w:divBdr>
    </w:div>
    <w:div w:id="500434774">
      <w:bodyDiv w:val="1"/>
      <w:marLeft w:val="0"/>
      <w:marRight w:val="0"/>
      <w:marTop w:val="0"/>
      <w:marBottom w:val="0"/>
      <w:divBdr>
        <w:top w:val="none" w:sz="0" w:space="0" w:color="auto"/>
        <w:left w:val="none" w:sz="0" w:space="0" w:color="auto"/>
        <w:bottom w:val="none" w:sz="0" w:space="0" w:color="auto"/>
        <w:right w:val="none" w:sz="0" w:space="0" w:color="auto"/>
      </w:divBdr>
    </w:div>
    <w:div w:id="697898118">
      <w:bodyDiv w:val="1"/>
      <w:marLeft w:val="0"/>
      <w:marRight w:val="0"/>
      <w:marTop w:val="0"/>
      <w:marBottom w:val="0"/>
      <w:divBdr>
        <w:top w:val="none" w:sz="0" w:space="0" w:color="auto"/>
        <w:left w:val="none" w:sz="0" w:space="0" w:color="auto"/>
        <w:bottom w:val="none" w:sz="0" w:space="0" w:color="auto"/>
        <w:right w:val="none" w:sz="0" w:space="0" w:color="auto"/>
      </w:divBdr>
    </w:div>
    <w:div w:id="722751548">
      <w:bodyDiv w:val="1"/>
      <w:marLeft w:val="0"/>
      <w:marRight w:val="0"/>
      <w:marTop w:val="0"/>
      <w:marBottom w:val="0"/>
      <w:divBdr>
        <w:top w:val="none" w:sz="0" w:space="0" w:color="auto"/>
        <w:left w:val="none" w:sz="0" w:space="0" w:color="auto"/>
        <w:bottom w:val="none" w:sz="0" w:space="0" w:color="auto"/>
        <w:right w:val="none" w:sz="0" w:space="0" w:color="auto"/>
      </w:divBdr>
      <w:divsChild>
        <w:div w:id="968316828">
          <w:marLeft w:val="0"/>
          <w:marRight w:val="0"/>
          <w:marTop w:val="0"/>
          <w:marBottom w:val="0"/>
          <w:divBdr>
            <w:top w:val="none" w:sz="0" w:space="0" w:color="auto"/>
            <w:left w:val="none" w:sz="0" w:space="0" w:color="auto"/>
            <w:bottom w:val="none" w:sz="0" w:space="0" w:color="auto"/>
            <w:right w:val="none" w:sz="0" w:space="0" w:color="auto"/>
          </w:divBdr>
          <w:divsChild>
            <w:div w:id="619609515">
              <w:marLeft w:val="0"/>
              <w:marRight w:val="0"/>
              <w:marTop w:val="0"/>
              <w:marBottom w:val="0"/>
              <w:divBdr>
                <w:top w:val="none" w:sz="0" w:space="0" w:color="auto"/>
                <w:left w:val="none" w:sz="0" w:space="0" w:color="auto"/>
                <w:bottom w:val="none" w:sz="0" w:space="0" w:color="auto"/>
                <w:right w:val="none" w:sz="0" w:space="0" w:color="auto"/>
              </w:divBdr>
              <w:divsChild>
                <w:div w:id="181214217">
                  <w:marLeft w:val="0"/>
                  <w:marRight w:val="0"/>
                  <w:marTop w:val="0"/>
                  <w:marBottom w:val="0"/>
                  <w:divBdr>
                    <w:top w:val="none" w:sz="0" w:space="0" w:color="auto"/>
                    <w:left w:val="none" w:sz="0" w:space="0" w:color="auto"/>
                    <w:bottom w:val="none" w:sz="0" w:space="0" w:color="auto"/>
                    <w:right w:val="none" w:sz="0" w:space="0" w:color="auto"/>
                  </w:divBdr>
                  <w:divsChild>
                    <w:div w:id="1537624566">
                      <w:marLeft w:val="0"/>
                      <w:marRight w:val="0"/>
                      <w:marTop w:val="0"/>
                      <w:marBottom w:val="0"/>
                      <w:divBdr>
                        <w:top w:val="none" w:sz="0" w:space="0" w:color="auto"/>
                        <w:left w:val="none" w:sz="0" w:space="0" w:color="auto"/>
                        <w:bottom w:val="none" w:sz="0" w:space="0" w:color="auto"/>
                        <w:right w:val="none" w:sz="0" w:space="0" w:color="auto"/>
                      </w:divBdr>
                      <w:divsChild>
                        <w:div w:id="2133595663">
                          <w:marLeft w:val="0"/>
                          <w:marRight w:val="0"/>
                          <w:marTop w:val="0"/>
                          <w:marBottom w:val="0"/>
                          <w:divBdr>
                            <w:top w:val="none" w:sz="0" w:space="0" w:color="auto"/>
                            <w:left w:val="none" w:sz="0" w:space="0" w:color="auto"/>
                            <w:bottom w:val="none" w:sz="0" w:space="0" w:color="auto"/>
                            <w:right w:val="none" w:sz="0" w:space="0" w:color="auto"/>
                          </w:divBdr>
                          <w:divsChild>
                            <w:div w:id="1050422865">
                              <w:marLeft w:val="0"/>
                              <w:marRight w:val="0"/>
                              <w:marTop w:val="0"/>
                              <w:marBottom w:val="0"/>
                              <w:divBdr>
                                <w:top w:val="none" w:sz="0" w:space="0" w:color="auto"/>
                                <w:left w:val="none" w:sz="0" w:space="0" w:color="auto"/>
                                <w:bottom w:val="none" w:sz="0" w:space="0" w:color="auto"/>
                                <w:right w:val="none" w:sz="0" w:space="0" w:color="auto"/>
                              </w:divBdr>
                              <w:divsChild>
                                <w:div w:id="153644411">
                                  <w:marLeft w:val="0"/>
                                  <w:marRight w:val="0"/>
                                  <w:marTop w:val="0"/>
                                  <w:marBottom w:val="0"/>
                                  <w:divBdr>
                                    <w:top w:val="none" w:sz="0" w:space="0" w:color="auto"/>
                                    <w:left w:val="none" w:sz="0" w:space="0" w:color="auto"/>
                                    <w:bottom w:val="none" w:sz="0" w:space="0" w:color="auto"/>
                                    <w:right w:val="none" w:sz="0" w:space="0" w:color="auto"/>
                                  </w:divBdr>
                                  <w:divsChild>
                                    <w:div w:id="167931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243403">
      <w:bodyDiv w:val="1"/>
      <w:marLeft w:val="0"/>
      <w:marRight w:val="0"/>
      <w:marTop w:val="0"/>
      <w:marBottom w:val="0"/>
      <w:divBdr>
        <w:top w:val="none" w:sz="0" w:space="0" w:color="auto"/>
        <w:left w:val="none" w:sz="0" w:space="0" w:color="auto"/>
        <w:bottom w:val="none" w:sz="0" w:space="0" w:color="auto"/>
        <w:right w:val="none" w:sz="0" w:space="0" w:color="auto"/>
      </w:divBdr>
    </w:div>
    <w:div w:id="755446606">
      <w:bodyDiv w:val="1"/>
      <w:marLeft w:val="0"/>
      <w:marRight w:val="0"/>
      <w:marTop w:val="0"/>
      <w:marBottom w:val="0"/>
      <w:divBdr>
        <w:top w:val="none" w:sz="0" w:space="0" w:color="auto"/>
        <w:left w:val="none" w:sz="0" w:space="0" w:color="auto"/>
        <w:bottom w:val="none" w:sz="0" w:space="0" w:color="auto"/>
        <w:right w:val="none" w:sz="0" w:space="0" w:color="auto"/>
      </w:divBdr>
    </w:div>
    <w:div w:id="840001099">
      <w:bodyDiv w:val="1"/>
      <w:marLeft w:val="0"/>
      <w:marRight w:val="0"/>
      <w:marTop w:val="0"/>
      <w:marBottom w:val="0"/>
      <w:divBdr>
        <w:top w:val="none" w:sz="0" w:space="0" w:color="auto"/>
        <w:left w:val="none" w:sz="0" w:space="0" w:color="auto"/>
        <w:bottom w:val="none" w:sz="0" w:space="0" w:color="auto"/>
        <w:right w:val="none" w:sz="0" w:space="0" w:color="auto"/>
      </w:divBdr>
      <w:divsChild>
        <w:div w:id="1277443705">
          <w:marLeft w:val="0"/>
          <w:marRight w:val="0"/>
          <w:marTop w:val="0"/>
          <w:marBottom w:val="0"/>
          <w:divBdr>
            <w:top w:val="none" w:sz="0" w:space="0" w:color="auto"/>
            <w:left w:val="none" w:sz="0" w:space="0" w:color="auto"/>
            <w:bottom w:val="none" w:sz="0" w:space="0" w:color="auto"/>
            <w:right w:val="none" w:sz="0" w:space="0" w:color="auto"/>
          </w:divBdr>
          <w:divsChild>
            <w:div w:id="1797674225">
              <w:marLeft w:val="0"/>
              <w:marRight w:val="0"/>
              <w:marTop w:val="0"/>
              <w:marBottom w:val="0"/>
              <w:divBdr>
                <w:top w:val="none" w:sz="0" w:space="0" w:color="auto"/>
                <w:left w:val="none" w:sz="0" w:space="0" w:color="auto"/>
                <w:bottom w:val="none" w:sz="0" w:space="0" w:color="auto"/>
                <w:right w:val="none" w:sz="0" w:space="0" w:color="auto"/>
              </w:divBdr>
              <w:divsChild>
                <w:div w:id="2102296331">
                  <w:marLeft w:val="0"/>
                  <w:marRight w:val="0"/>
                  <w:marTop w:val="0"/>
                  <w:marBottom w:val="0"/>
                  <w:divBdr>
                    <w:top w:val="none" w:sz="0" w:space="0" w:color="auto"/>
                    <w:left w:val="none" w:sz="0" w:space="0" w:color="auto"/>
                    <w:bottom w:val="none" w:sz="0" w:space="0" w:color="auto"/>
                    <w:right w:val="none" w:sz="0" w:space="0" w:color="auto"/>
                  </w:divBdr>
                  <w:divsChild>
                    <w:div w:id="383993714">
                      <w:marLeft w:val="0"/>
                      <w:marRight w:val="0"/>
                      <w:marTop w:val="0"/>
                      <w:marBottom w:val="0"/>
                      <w:divBdr>
                        <w:top w:val="none" w:sz="0" w:space="0" w:color="auto"/>
                        <w:left w:val="none" w:sz="0" w:space="0" w:color="auto"/>
                        <w:bottom w:val="none" w:sz="0" w:space="0" w:color="auto"/>
                        <w:right w:val="none" w:sz="0" w:space="0" w:color="auto"/>
                      </w:divBdr>
                      <w:divsChild>
                        <w:div w:id="549610337">
                          <w:marLeft w:val="0"/>
                          <w:marRight w:val="0"/>
                          <w:marTop w:val="0"/>
                          <w:marBottom w:val="0"/>
                          <w:divBdr>
                            <w:top w:val="none" w:sz="0" w:space="0" w:color="auto"/>
                            <w:left w:val="none" w:sz="0" w:space="0" w:color="auto"/>
                            <w:bottom w:val="none" w:sz="0" w:space="0" w:color="auto"/>
                            <w:right w:val="none" w:sz="0" w:space="0" w:color="auto"/>
                          </w:divBdr>
                          <w:divsChild>
                            <w:div w:id="1432120221">
                              <w:marLeft w:val="0"/>
                              <w:marRight w:val="0"/>
                              <w:marTop w:val="0"/>
                              <w:marBottom w:val="0"/>
                              <w:divBdr>
                                <w:top w:val="none" w:sz="0" w:space="0" w:color="auto"/>
                                <w:left w:val="none" w:sz="0" w:space="0" w:color="auto"/>
                                <w:bottom w:val="none" w:sz="0" w:space="0" w:color="auto"/>
                                <w:right w:val="none" w:sz="0" w:space="0" w:color="auto"/>
                              </w:divBdr>
                              <w:divsChild>
                                <w:div w:id="1641031004">
                                  <w:marLeft w:val="0"/>
                                  <w:marRight w:val="0"/>
                                  <w:marTop w:val="0"/>
                                  <w:marBottom w:val="0"/>
                                  <w:divBdr>
                                    <w:top w:val="none" w:sz="0" w:space="0" w:color="auto"/>
                                    <w:left w:val="none" w:sz="0" w:space="0" w:color="auto"/>
                                    <w:bottom w:val="none" w:sz="0" w:space="0" w:color="auto"/>
                                    <w:right w:val="none" w:sz="0" w:space="0" w:color="auto"/>
                                  </w:divBdr>
                                  <w:divsChild>
                                    <w:div w:id="56101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7182703">
      <w:bodyDiv w:val="1"/>
      <w:marLeft w:val="0"/>
      <w:marRight w:val="0"/>
      <w:marTop w:val="0"/>
      <w:marBottom w:val="0"/>
      <w:divBdr>
        <w:top w:val="none" w:sz="0" w:space="0" w:color="auto"/>
        <w:left w:val="none" w:sz="0" w:space="0" w:color="auto"/>
        <w:bottom w:val="none" w:sz="0" w:space="0" w:color="auto"/>
        <w:right w:val="none" w:sz="0" w:space="0" w:color="auto"/>
      </w:divBdr>
    </w:div>
    <w:div w:id="989408597">
      <w:bodyDiv w:val="1"/>
      <w:marLeft w:val="0"/>
      <w:marRight w:val="0"/>
      <w:marTop w:val="0"/>
      <w:marBottom w:val="0"/>
      <w:divBdr>
        <w:top w:val="none" w:sz="0" w:space="0" w:color="auto"/>
        <w:left w:val="none" w:sz="0" w:space="0" w:color="auto"/>
        <w:bottom w:val="none" w:sz="0" w:space="0" w:color="auto"/>
        <w:right w:val="none" w:sz="0" w:space="0" w:color="auto"/>
      </w:divBdr>
    </w:div>
    <w:div w:id="1011493884">
      <w:bodyDiv w:val="1"/>
      <w:marLeft w:val="0"/>
      <w:marRight w:val="0"/>
      <w:marTop w:val="0"/>
      <w:marBottom w:val="0"/>
      <w:divBdr>
        <w:top w:val="none" w:sz="0" w:space="0" w:color="auto"/>
        <w:left w:val="none" w:sz="0" w:space="0" w:color="auto"/>
        <w:bottom w:val="none" w:sz="0" w:space="0" w:color="auto"/>
        <w:right w:val="none" w:sz="0" w:space="0" w:color="auto"/>
      </w:divBdr>
    </w:div>
    <w:div w:id="1221014784">
      <w:bodyDiv w:val="1"/>
      <w:marLeft w:val="0"/>
      <w:marRight w:val="0"/>
      <w:marTop w:val="0"/>
      <w:marBottom w:val="0"/>
      <w:divBdr>
        <w:top w:val="none" w:sz="0" w:space="0" w:color="auto"/>
        <w:left w:val="none" w:sz="0" w:space="0" w:color="auto"/>
        <w:bottom w:val="none" w:sz="0" w:space="0" w:color="auto"/>
        <w:right w:val="none" w:sz="0" w:space="0" w:color="auto"/>
      </w:divBdr>
    </w:div>
    <w:div w:id="1244339281">
      <w:bodyDiv w:val="1"/>
      <w:marLeft w:val="0"/>
      <w:marRight w:val="0"/>
      <w:marTop w:val="0"/>
      <w:marBottom w:val="0"/>
      <w:divBdr>
        <w:top w:val="none" w:sz="0" w:space="0" w:color="auto"/>
        <w:left w:val="none" w:sz="0" w:space="0" w:color="auto"/>
        <w:bottom w:val="none" w:sz="0" w:space="0" w:color="auto"/>
        <w:right w:val="none" w:sz="0" w:space="0" w:color="auto"/>
      </w:divBdr>
      <w:divsChild>
        <w:div w:id="1959020030">
          <w:marLeft w:val="0"/>
          <w:marRight w:val="0"/>
          <w:marTop w:val="0"/>
          <w:marBottom w:val="0"/>
          <w:divBdr>
            <w:top w:val="none" w:sz="0" w:space="0" w:color="auto"/>
            <w:left w:val="none" w:sz="0" w:space="0" w:color="auto"/>
            <w:bottom w:val="none" w:sz="0" w:space="0" w:color="auto"/>
            <w:right w:val="none" w:sz="0" w:space="0" w:color="auto"/>
          </w:divBdr>
          <w:divsChild>
            <w:div w:id="1437208517">
              <w:marLeft w:val="0"/>
              <w:marRight w:val="0"/>
              <w:marTop w:val="0"/>
              <w:marBottom w:val="0"/>
              <w:divBdr>
                <w:top w:val="none" w:sz="0" w:space="0" w:color="auto"/>
                <w:left w:val="none" w:sz="0" w:space="0" w:color="auto"/>
                <w:bottom w:val="none" w:sz="0" w:space="0" w:color="auto"/>
                <w:right w:val="none" w:sz="0" w:space="0" w:color="auto"/>
              </w:divBdr>
              <w:divsChild>
                <w:div w:id="322666397">
                  <w:marLeft w:val="0"/>
                  <w:marRight w:val="0"/>
                  <w:marTop w:val="0"/>
                  <w:marBottom w:val="0"/>
                  <w:divBdr>
                    <w:top w:val="none" w:sz="0" w:space="0" w:color="auto"/>
                    <w:left w:val="none" w:sz="0" w:space="0" w:color="auto"/>
                    <w:bottom w:val="none" w:sz="0" w:space="0" w:color="auto"/>
                    <w:right w:val="none" w:sz="0" w:space="0" w:color="auto"/>
                  </w:divBdr>
                  <w:divsChild>
                    <w:div w:id="663901517">
                      <w:marLeft w:val="0"/>
                      <w:marRight w:val="0"/>
                      <w:marTop w:val="0"/>
                      <w:marBottom w:val="0"/>
                      <w:divBdr>
                        <w:top w:val="none" w:sz="0" w:space="0" w:color="auto"/>
                        <w:left w:val="none" w:sz="0" w:space="0" w:color="auto"/>
                        <w:bottom w:val="none" w:sz="0" w:space="0" w:color="auto"/>
                        <w:right w:val="none" w:sz="0" w:space="0" w:color="auto"/>
                      </w:divBdr>
                      <w:divsChild>
                        <w:div w:id="338653460">
                          <w:marLeft w:val="0"/>
                          <w:marRight w:val="0"/>
                          <w:marTop w:val="0"/>
                          <w:marBottom w:val="0"/>
                          <w:divBdr>
                            <w:top w:val="none" w:sz="0" w:space="0" w:color="auto"/>
                            <w:left w:val="none" w:sz="0" w:space="0" w:color="auto"/>
                            <w:bottom w:val="none" w:sz="0" w:space="0" w:color="auto"/>
                            <w:right w:val="none" w:sz="0" w:space="0" w:color="auto"/>
                          </w:divBdr>
                          <w:divsChild>
                            <w:div w:id="1200624815">
                              <w:marLeft w:val="0"/>
                              <w:marRight w:val="0"/>
                              <w:marTop w:val="0"/>
                              <w:marBottom w:val="0"/>
                              <w:divBdr>
                                <w:top w:val="none" w:sz="0" w:space="0" w:color="auto"/>
                                <w:left w:val="none" w:sz="0" w:space="0" w:color="auto"/>
                                <w:bottom w:val="none" w:sz="0" w:space="0" w:color="auto"/>
                                <w:right w:val="none" w:sz="0" w:space="0" w:color="auto"/>
                              </w:divBdr>
                              <w:divsChild>
                                <w:div w:id="641084948">
                                  <w:marLeft w:val="0"/>
                                  <w:marRight w:val="0"/>
                                  <w:marTop w:val="0"/>
                                  <w:marBottom w:val="0"/>
                                  <w:divBdr>
                                    <w:top w:val="none" w:sz="0" w:space="0" w:color="auto"/>
                                    <w:left w:val="none" w:sz="0" w:space="0" w:color="auto"/>
                                    <w:bottom w:val="none" w:sz="0" w:space="0" w:color="auto"/>
                                    <w:right w:val="none" w:sz="0" w:space="0" w:color="auto"/>
                                  </w:divBdr>
                                  <w:divsChild>
                                    <w:div w:id="61448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5672372">
      <w:bodyDiv w:val="1"/>
      <w:marLeft w:val="0"/>
      <w:marRight w:val="0"/>
      <w:marTop w:val="0"/>
      <w:marBottom w:val="0"/>
      <w:divBdr>
        <w:top w:val="none" w:sz="0" w:space="0" w:color="auto"/>
        <w:left w:val="none" w:sz="0" w:space="0" w:color="auto"/>
        <w:bottom w:val="none" w:sz="0" w:space="0" w:color="auto"/>
        <w:right w:val="none" w:sz="0" w:space="0" w:color="auto"/>
      </w:divBdr>
      <w:divsChild>
        <w:div w:id="1071780580">
          <w:marLeft w:val="0"/>
          <w:marRight w:val="0"/>
          <w:marTop w:val="0"/>
          <w:marBottom w:val="0"/>
          <w:divBdr>
            <w:top w:val="none" w:sz="0" w:space="0" w:color="auto"/>
            <w:left w:val="none" w:sz="0" w:space="0" w:color="auto"/>
            <w:bottom w:val="none" w:sz="0" w:space="0" w:color="auto"/>
            <w:right w:val="none" w:sz="0" w:space="0" w:color="auto"/>
          </w:divBdr>
          <w:divsChild>
            <w:div w:id="66803726">
              <w:marLeft w:val="0"/>
              <w:marRight w:val="0"/>
              <w:marTop w:val="0"/>
              <w:marBottom w:val="0"/>
              <w:divBdr>
                <w:top w:val="none" w:sz="0" w:space="0" w:color="auto"/>
                <w:left w:val="none" w:sz="0" w:space="0" w:color="auto"/>
                <w:bottom w:val="none" w:sz="0" w:space="0" w:color="auto"/>
                <w:right w:val="none" w:sz="0" w:space="0" w:color="auto"/>
              </w:divBdr>
              <w:divsChild>
                <w:div w:id="1261336855">
                  <w:marLeft w:val="0"/>
                  <w:marRight w:val="0"/>
                  <w:marTop w:val="0"/>
                  <w:marBottom w:val="0"/>
                  <w:divBdr>
                    <w:top w:val="none" w:sz="0" w:space="0" w:color="auto"/>
                    <w:left w:val="none" w:sz="0" w:space="0" w:color="auto"/>
                    <w:bottom w:val="none" w:sz="0" w:space="0" w:color="auto"/>
                    <w:right w:val="none" w:sz="0" w:space="0" w:color="auto"/>
                  </w:divBdr>
                  <w:divsChild>
                    <w:div w:id="171844329">
                      <w:marLeft w:val="0"/>
                      <w:marRight w:val="0"/>
                      <w:marTop w:val="0"/>
                      <w:marBottom w:val="0"/>
                      <w:divBdr>
                        <w:top w:val="none" w:sz="0" w:space="0" w:color="auto"/>
                        <w:left w:val="none" w:sz="0" w:space="0" w:color="auto"/>
                        <w:bottom w:val="none" w:sz="0" w:space="0" w:color="auto"/>
                        <w:right w:val="none" w:sz="0" w:space="0" w:color="auto"/>
                      </w:divBdr>
                      <w:divsChild>
                        <w:div w:id="729773341">
                          <w:marLeft w:val="0"/>
                          <w:marRight w:val="0"/>
                          <w:marTop w:val="0"/>
                          <w:marBottom w:val="0"/>
                          <w:divBdr>
                            <w:top w:val="none" w:sz="0" w:space="0" w:color="auto"/>
                            <w:left w:val="none" w:sz="0" w:space="0" w:color="auto"/>
                            <w:bottom w:val="none" w:sz="0" w:space="0" w:color="auto"/>
                            <w:right w:val="none" w:sz="0" w:space="0" w:color="auto"/>
                          </w:divBdr>
                          <w:divsChild>
                            <w:div w:id="1774662711">
                              <w:marLeft w:val="0"/>
                              <w:marRight w:val="0"/>
                              <w:marTop w:val="0"/>
                              <w:marBottom w:val="0"/>
                              <w:divBdr>
                                <w:top w:val="none" w:sz="0" w:space="0" w:color="auto"/>
                                <w:left w:val="none" w:sz="0" w:space="0" w:color="auto"/>
                                <w:bottom w:val="none" w:sz="0" w:space="0" w:color="auto"/>
                                <w:right w:val="none" w:sz="0" w:space="0" w:color="auto"/>
                              </w:divBdr>
                              <w:divsChild>
                                <w:div w:id="1708056">
                                  <w:marLeft w:val="0"/>
                                  <w:marRight w:val="0"/>
                                  <w:marTop w:val="0"/>
                                  <w:marBottom w:val="0"/>
                                  <w:divBdr>
                                    <w:top w:val="none" w:sz="0" w:space="0" w:color="auto"/>
                                    <w:left w:val="none" w:sz="0" w:space="0" w:color="auto"/>
                                    <w:bottom w:val="none" w:sz="0" w:space="0" w:color="auto"/>
                                    <w:right w:val="none" w:sz="0" w:space="0" w:color="auto"/>
                                  </w:divBdr>
                                  <w:divsChild>
                                    <w:div w:id="128060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742186">
      <w:bodyDiv w:val="1"/>
      <w:marLeft w:val="0"/>
      <w:marRight w:val="0"/>
      <w:marTop w:val="0"/>
      <w:marBottom w:val="0"/>
      <w:divBdr>
        <w:top w:val="none" w:sz="0" w:space="0" w:color="auto"/>
        <w:left w:val="none" w:sz="0" w:space="0" w:color="auto"/>
        <w:bottom w:val="none" w:sz="0" w:space="0" w:color="auto"/>
        <w:right w:val="none" w:sz="0" w:space="0" w:color="auto"/>
      </w:divBdr>
    </w:div>
    <w:div w:id="1436294299">
      <w:bodyDiv w:val="1"/>
      <w:marLeft w:val="0"/>
      <w:marRight w:val="0"/>
      <w:marTop w:val="0"/>
      <w:marBottom w:val="0"/>
      <w:divBdr>
        <w:top w:val="none" w:sz="0" w:space="0" w:color="auto"/>
        <w:left w:val="none" w:sz="0" w:space="0" w:color="auto"/>
        <w:bottom w:val="none" w:sz="0" w:space="0" w:color="auto"/>
        <w:right w:val="none" w:sz="0" w:space="0" w:color="auto"/>
      </w:divBdr>
      <w:divsChild>
        <w:div w:id="129371019">
          <w:marLeft w:val="0"/>
          <w:marRight w:val="0"/>
          <w:marTop w:val="0"/>
          <w:marBottom w:val="0"/>
          <w:divBdr>
            <w:top w:val="none" w:sz="0" w:space="0" w:color="auto"/>
            <w:left w:val="none" w:sz="0" w:space="0" w:color="auto"/>
            <w:bottom w:val="none" w:sz="0" w:space="0" w:color="auto"/>
            <w:right w:val="none" w:sz="0" w:space="0" w:color="auto"/>
          </w:divBdr>
          <w:divsChild>
            <w:div w:id="1416903337">
              <w:marLeft w:val="0"/>
              <w:marRight w:val="0"/>
              <w:marTop w:val="0"/>
              <w:marBottom w:val="0"/>
              <w:divBdr>
                <w:top w:val="none" w:sz="0" w:space="0" w:color="auto"/>
                <w:left w:val="none" w:sz="0" w:space="0" w:color="auto"/>
                <w:bottom w:val="none" w:sz="0" w:space="0" w:color="auto"/>
                <w:right w:val="none" w:sz="0" w:space="0" w:color="auto"/>
              </w:divBdr>
              <w:divsChild>
                <w:div w:id="1911496668">
                  <w:marLeft w:val="0"/>
                  <w:marRight w:val="0"/>
                  <w:marTop w:val="0"/>
                  <w:marBottom w:val="0"/>
                  <w:divBdr>
                    <w:top w:val="none" w:sz="0" w:space="0" w:color="auto"/>
                    <w:left w:val="none" w:sz="0" w:space="0" w:color="auto"/>
                    <w:bottom w:val="none" w:sz="0" w:space="0" w:color="auto"/>
                    <w:right w:val="none" w:sz="0" w:space="0" w:color="auto"/>
                  </w:divBdr>
                  <w:divsChild>
                    <w:div w:id="1284386028">
                      <w:marLeft w:val="0"/>
                      <w:marRight w:val="0"/>
                      <w:marTop w:val="0"/>
                      <w:marBottom w:val="0"/>
                      <w:divBdr>
                        <w:top w:val="none" w:sz="0" w:space="0" w:color="auto"/>
                        <w:left w:val="none" w:sz="0" w:space="0" w:color="auto"/>
                        <w:bottom w:val="none" w:sz="0" w:space="0" w:color="auto"/>
                        <w:right w:val="none" w:sz="0" w:space="0" w:color="auto"/>
                      </w:divBdr>
                      <w:divsChild>
                        <w:div w:id="326370847">
                          <w:marLeft w:val="0"/>
                          <w:marRight w:val="0"/>
                          <w:marTop w:val="0"/>
                          <w:marBottom w:val="0"/>
                          <w:divBdr>
                            <w:top w:val="none" w:sz="0" w:space="0" w:color="auto"/>
                            <w:left w:val="none" w:sz="0" w:space="0" w:color="auto"/>
                            <w:bottom w:val="none" w:sz="0" w:space="0" w:color="auto"/>
                            <w:right w:val="none" w:sz="0" w:space="0" w:color="auto"/>
                          </w:divBdr>
                          <w:divsChild>
                            <w:div w:id="30081878">
                              <w:marLeft w:val="0"/>
                              <w:marRight w:val="0"/>
                              <w:marTop w:val="0"/>
                              <w:marBottom w:val="0"/>
                              <w:divBdr>
                                <w:top w:val="none" w:sz="0" w:space="0" w:color="auto"/>
                                <w:left w:val="none" w:sz="0" w:space="0" w:color="auto"/>
                                <w:bottom w:val="none" w:sz="0" w:space="0" w:color="auto"/>
                                <w:right w:val="none" w:sz="0" w:space="0" w:color="auto"/>
                              </w:divBdr>
                              <w:divsChild>
                                <w:div w:id="789007936">
                                  <w:marLeft w:val="0"/>
                                  <w:marRight w:val="0"/>
                                  <w:marTop w:val="0"/>
                                  <w:marBottom w:val="0"/>
                                  <w:divBdr>
                                    <w:top w:val="none" w:sz="0" w:space="0" w:color="auto"/>
                                    <w:left w:val="none" w:sz="0" w:space="0" w:color="auto"/>
                                    <w:bottom w:val="none" w:sz="0" w:space="0" w:color="auto"/>
                                    <w:right w:val="none" w:sz="0" w:space="0" w:color="auto"/>
                                  </w:divBdr>
                                  <w:divsChild>
                                    <w:div w:id="42088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9549492">
      <w:bodyDiv w:val="1"/>
      <w:marLeft w:val="0"/>
      <w:marRight w:val="0"/>
      <w:marTop w:val="0"/>
      <w:marBottom w:val="0"/>
      <w:divBdr>
        <w:top w:val="none" w:sz="0" w:space="0" w:color="auto"/>
        <w:left w:val="none" w:sz="0" w:space="0" w:color="auto"/>
        <w:bottom w:val="none" w:sz="0" w:space="0" w:color="auto"/>
        <w:right w:val="none" w:sz="0" w:space="0" w:color="auto"/>
      </w:divBdr>
    </w:div>
    <w:div w:id="1506675292">
      <w:bodyDiv w:val="1"/>
      <w:marLeft w:val="0"/>
      <w:marRight w:val="0"/>
      <w:marTop w:val="0"/>
      <w:marBottom w:val="0"/>
      <w:divBdr>
        <w:top w:val="none" w:sz="0" w:space="0" w:color="auto"/>
        <w:left w:val="none" w:sz="0" w:space="0" w:color="auto"/>
        <w:bottom w:val="none" w:sz="0" w:space="0" w:color="auto"/>
        <w:right w:val="none" w:sz="0" w:space="0" w:color="auto"/>
      </w:divBdr>
    </w:div>
    <w:div w:id="1524395650">
      <w:bodyDiv w:val="1"/>
      <w:marLeft w:val="0"/>
      <w:marRight w:val="0"/>
      <w:marTop w:val="0"/>
      <w:marBottom w:val="0"/>
      <w:divBdr>
        <w:top w:val="none" w:sz="0" w:space="0" w:color="auto"/>
        <w:left w:val="none" w:sz="0" w:space="0" w:color="auto"/>
        <w:bottom w:val="none" w:sz="0" w:space="0" w:color="auto"/>
        <w:right w:val="none" w:sz="0" w:space="0" w:color="auto"/>
      </w:divBdr>
      <w:divsChild>
        <w:div w:id="1095980971">
          <w:marLeft w:val="0"/>
          <w:marRight w:val="0"/>
          <w:marTop w:val="0"/>
          <w:marBottom w:val="0"/>
          <w:divBdr>
            <w:top w:val="none" w:sz="0" w:space="0" w:color="auto"/>
            <w:left w:val="none" w:sz="0" w:space="0" w:color="auto"/>
            <w:bottom w:val="none" w:sz="0" w:space="0" w:color="auto"/>
            <w:right w:val="none" w:sz="0" w:space="0" w:color="auto"/>
          </w:divBdr>
          <w:divsChild>
            <w:div w:id="1252155537">
              <w:marLeft w:val="0"/>
              <w:marRight w:val="0"/>
              <w:marTop w:val="0"/>
              <w:marBottom w:val="0"/>
              <w:divBdr>
                <w:top w:val="none" w:sz="0" w:space="0" w:color="auto"/>
                <w:left w:val="none" w:sz="0" w:space="0" w:color="auto"/>
                <w:bottom w:val="none" w:sz="0" w:space="0" w:color="auto"/>
                <w:right w:val="none" w:sz="0" w:space="0" w:color="auto"/>
              </w:divBdr>
              <w:divsChild>
                <w:div w:id="13651875">
                  <w:marLeft w:val="0"/>
                  <w:marRight w:val="0"/>
                  <w:marTop w:val="0"/>
                  <w:marBottom w:val="0"/>
                  <w:divBdr>
                    <w:top w:val="none" w:sz="0" w:space="0" w:color="auto"/>
                    <w:left w:val="none" w:sz="0" w:space="0" w:color="auto"/>
                    <w:bottom w:val="none" w:sz="0" w:space="0" w:color="auto"/>
                    <w:right w:val="none" w:sz="0" w:space="0" w:color="auto"/>
                  </w:divBdr>
                  <w:divsChild>
                    <w:div w:id="1229803529">
                      <w:marLeft w:val="0"/>
                      <w:marRight w:val="0"/>
                      <w:marTop w:val="0"/>
                      <w:marBottom w:val="0"/>
                      <w:divBdr>
                        <w:top w:val="none" w:sz="0" w:space="0" w:color="auto"/>
                        <w:left w:val="none" w:sz="0" w:space="0" w:color="auto"/>
                        <w:bottom w:val="none" w:sz="0" w:space="0" w:color="auto"/>
                        <w:right w:val="none" w:sz="0" w:space="0" w:color="auto"/>
                      </w:divBdr>
                      <w:divsChild>
                        <w:div w:id="2067489771">
                          <w:marLeft w:val="0"/>
                          <w:marRight w:val="0"/>
                          <w:marTop w:val="0"/>
                          <w:marBottom w:val="0"/>
                          <w:divBdr>
                            <w:top w:val="none" w:sz="0" w:space="0" w:color="auto"/>
                            <w:left w:val="none" w:sz="0" w:space="0" w:color="auto"/>
                            <w:bottom w:val="none" w:sz="0" w:space="0" w:color="auto"/>
                            <w:right w:val="none" w:sz="0" w:space="0" w:color="auto"/>
                          </w:divBdr>
                          <w:divsChild>
                            <w:div w:id="640767746">
                              <w:marLeft w:val="0"/>
                              <w:marRight w:val="0"/>
                              <w:marTop w:val="0"/>
                              <w:marBottom w:val="0"/>
                              <w:divBdr>
                                <w:top w:val="none" w:sz="0" w:space="0" w:color="auto"/>
                                <w:left w:val="none" w:sz="0" w:space="0" w:color="auto"/>
                                <w:bottom w:val="none" w:sz="0" w:space="0" w:color="auto"/>
                                <w:right w:val="none" w:sz="0" w:space="0" w:color="auto"/>
                              </w:divBdr>
                              <w:divsChild>
                                <w:div w:id="2022779871">
                                  <w:marLeft w:val="0"/>
                                  <w:marRight w:val="0"/>
                                  <w:marTop w:val="0"/>
                                  <w:marBottom w:val="0"/>
                                  <w:divBdr>
                                    <w:top w:val="none" w:sz="0" w:space="0" w:color="auto"/>
                                    <w:left w:val="none" w:sz="0" w:space="0" w:color="auto"/>
                                    <w:bottom w:val="none" w:sz="0" w:space="0" w:color="auto"/>
                                    <w:right w:val="none" w:sz="0" w:space="0" w:color="auto"/>
                                  </w:divBdr>
                                  <w:divsChild>
                                    <w:div w:id="151414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496555">
      <w:bodyDiv w:val="1"/>
      <w:marLeft w:val="0"/>
      <w:marRight w:val="0"/>
      <w:marTop w:val="0"/>
      <w:marBottom w:val="0"/>
      <w:divBdr>
        <w:top w:val="none" w:sz="0" w:space="0" w:color="auto"/>
        <w:left w:val="none" w:sz="0" w:space="0" w:color="auto"/>
        <w:bottom w:val="none" w:sz="0" w:space="0" w:color="auto"/>
        <w:right w:val="none" w:sz="0" w:space="0" w:color="auto"/>
      </w:divBdr>
    </w:div>
    <w:div w:id="1619919286">
      <w:bodyDiv w:val="1"/>
      <w:marLeft w:val="0"/>
      <w:marRight w:val="0"/>
      <w:marTop w:val="0"/>
      <w:marBottom w:val="0"/>
      <w:divBdr>
        <w:top w:val="none" w:sz="0" w:space="0" w:color="auto"/>
        <w:left w:val="none" w:sz="0" w:space="0" w:color="auto"/>
        <w:bottom w:val="none" w:sz="0" w:space="0" w:color="auto"/>
        <w:right w:val="none" w:sz="0" w:space="0" w:color="auto"/>
      </w:divBdr>
      <w:divsChild>
        <w:div w:id="43337081">
          <w:marLeft w:val="0"/>
          <w:marRight w:val="0"/>
          <w:marTop w:val="0"/>
          <w:marBottom w:val="0"/>
          <w:divBdr>
            <w:top w:val="none" w:sz="0" w:space="0" w:color="auto"/>
            <w:left w:val="none" w:sz="0" w:space="0" w:color="auto"/>
            <w:bottom w:val="none" w:sz="0" w:space="0" w:color="auto"/>
            <w:right w:val="none" w:sz="0" w:space="0" w:color="auto"/>
          </w:divBdr>
          <w:divsChild>
            <w:div w:id="1581330786">
              <w:marLeft w:val="0"/>
              <w:marRight w:val="0"/>
              <w:marTop w:val="0"/>
              <w:marBottom w:val="0"/>
              <w:divBdr>
                <w:top w:val="none" w:sz="0" w:space="0" w:color="auto"/>
                <w:left w:val="none" w:sz="0" w:space="0" w:color="auto"/>
                <w:bottom w:val="none" w:sz="0" w:space="0" w:color="auto"/>
                <w:right w:val="none" w:sz="0" w:space="0" w:color="auto"/>
              </w:divBdr>
              <w:divsChild>
                <w:div w:id="917516464">
                  <w:marLeft w:val="0"/>
                  <w:marRight w:val="0"/>
                  <w:marTop w:val="0"/>
                  <w:marBottom w:val="0"/>
                  <w:divBdr>
                    <w:top w:val="none" w:sz="0" w:space="0" w:color="auto"/>
                    <w:left w:val="none" w:sz="0" w:space="0" w:color="auto"/>
                    <w:bottom w:val="none" w:sz="0" w:space="0" w:color="auto"/>
                    <w:right w:val="none" w:sz="0" w:space="0" w:color="auto"/>
                  </w:divBdr>
                  <w:divsChild>
                    <w:div w:id="1083993087">
                      <w:marLeft w:val="0"/>
                      <w:marRight w:val="0"/>
                      <w:marTop w:val="0"/>
                      <w:marBottom w:val="0"/>
                      <w:divBdr>
                        <w:top w:val="none" w:sz="0" w:space="0" w:color="auto"/>
                        <w:left w:val="none" w:sz="0" w:space="0" w:color="auto"/>
                        <w:bottom w:val="none" w:sz="0" w:space="0" w:color="auto"/>
                        <w:right w:val="none" w:sz="0" w:space="0" w:color="auto"/>
                      </w:divBdr>
                      <w:divsChild>
                        <w:div w:id="1987858666">
                          <w:marLeft w:val="0"/>
                          <w:marRight w:val="0"/>
                          <w:marTop w:val="0"/>
                          <w:marBottom w:val="0"/>
                          <w:divBdr>
                            <w:top w:val="none" w:sz="0" w:space="0" w:color="auto"/>
                            <w:left w:val="none" w:sz="0" w:space="0" w:color="auto"/>
                            <w:bottom w:val="none" w:sz="0" w:space="0" w:color="auto"/>
                            <w:right w:val="none" w:sz="0" w:space="0" w:color="auto"/>
                          </w:divBdr>
                          <w:divsChild>
                            <w:div w:id="474838514">
                              <w:marLeft w:val="0"/>
                              <w:marRight w:val="0"/>
                              <w:marTop w:val="0"/>
                              <w:marBottom w:val="0"/>
                              <w:divBdr>
                                <w:top w:val="none" w:sz="0" w:space="0" w:color="auto"/>
                                <w:left w:val="none" w:sz="0" w:space="0" w:color="auto"/>
                                <w:bottom w:val="none" w:sz="0" w:space="0" w:color="auto"/>
                                <w:right w:val="none" w:sz="0" w:space="0" w:color="auto"/>
                              </w:divBdr>
                              <w:divsChild>
                                <w:div w:id="566501726">
                                  <w:marLeft w:val="0"/>
                                  <w:marRight w:val="0"/>
                                  <w:marTop w:val="0"/>
                                  <w:marBottom w:val="0"/>
                                  <w:divBdr>
                                    <w:top w:val="none" w:sz="0" w:space="0" w:color="auto"/>
                                    <w:left w:val="none" w:sz="0" w:space="0" w:color="auto"/>
                                    <w:bottom w:val="none" w:sz="0" w:space="0" w:color="auto"/>
                                    <w:right w:val="none" w:sz="0" w:space="0" w:color="auto"/>
                                  </w:divBdr>
                                  <w:divsChild>
                                    <w:div w:id="179486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229968">
      <w:bodyDiv w:val="1"/>
      <w:marLeft w:val="0"/>
      <w:marRight w:val="0"/>
      <w:marTop w:val="0"/>
      <w:marBottom w:val="0"/>
      <w:divBdr>
        <w:top w:val="none" w:sz="0" w:space="0" w:color="auto"/>
        <w:left w:val="none" w:sz="0" w:space="0" w:color="auto"/>
        <w:bottom w:val="none" w:sz="0" w:space="0" w:color="auto"/>
        <w:right w:val="none" w:sz="0" w:space="0" w:color="auto"/>
      </w:divBdr>
    </w:div>
    <w:div w:id="1953901934">
      <w:bodyDiv w:val="1"/>
      <w:marLeft w:val="0"/>
      <w:marRight w:val="0"/>
      <w:marTop w:val="0"/>
      <w:marBottom w:val="0"/>
      <w:divBdr>
        <w:top w:val="none" w:sz="0" w:space="0" w:color="auto"/>
        <w:left w:val="none" w:sz="0" w:space="0" w:color="auto"/>
        <w:bottom w:val="none" w:sz="0" w:space="0" w:color="auto"/>
        <w:right w:val="none" w:sz="0" w:space="0" w:color="auto"/>
      </w:divBdr>
    </w:div>
    <w:div w:id="1983848588">
      <w:bodyDiv w:val="1"/>
      <w:marLeft w:val="0"/>
      <w:marRight w:val="0"/>
      <w:marTop w:val="0"/>
      <w:marBottom w:val="0"/>
      <w:divBdr>
        <w:top w:val="none" w:sz="0" w:space="0" w:color="auto"/>
        <w:left w:val="none" w:sz="0" w:space="0" w:color="auto"/>
        <w:bottom w:val="none" w:sz="0" w:space="0" w:color="auto"/>
        <w:right w:val="none" w:sz="0" w:space="0" w:color="auto"/>
      </w:divBdr>
    </w:div>
    <w:div w:id="2066297816">
      <w:bodyDiv w:val="1"/>
      <w:marLeft w:val="0"/>
      <w:marRight w:val="0"/>
      <w:marTop w:val="0"/>
      <w:marBottom w:val="0"/>
      <w:divBdr>
        <w:top w:val="none" w:sz="0" w:space="0" w:color="auto"/>
        <w:left w:val="none" w:sz="0" w:space="0" w:color="auto"/>
        <w:bottom w:val="none" w:sz="0" w:space="0" w:color="auto"/>
        <w:right w:val="none" w:sz="0" w:space="0" w:color="auto"/>
      </w:divBdr>
      <w:divsChild>
        <w:div w:id="919868450">
          <w:marLeft w:val="0"/>
          <w:marRight w:val="0"/>
          <w:marTop w:val="0"/>
          <w:marBottom w:val="0"/>
          <w:divBdr>
            <w:top w:val="none" w:sz="0" w:space="0" w:color="auto"/>
            <w:left w:val="none" w:sz="0" w:space="0" w:color="auto"/>
            <w:bottom w:val="none" w:sz="0" w:space="0" w:color="auto"/>
            <w:right w:val="none" w:sz="0" w:space="0" w:color="auto"/>
          </w:divBdr>
          <w:divsChild>
            <w:div w:id="443888782">
              <w:marLeft w:val="0"/>
              <w:marRight w:val="0"/>
              <w:marTop w:val="0"/>
              <w:marBottom w:val="0"/>
              <w:divBdr>
                <w:top w:val="none" w:sz="0" w:space="0" w:color="auto"/>
                <w:left w:val="none" w:sz="0" w:space="0" w:color="auto"/>
                <w:bottom w:val="none" w:sz="0" w:space="0" w:color="auto"/>
                <w:right w:val="none" w:sz="0" w:space="0" w:color="auto"/>
              </w:divBdr>
              <w:divsChild>
                <w:div w:id="192504970">
                  <w:marLeft w:val="0"/>
                  <w:marRight w:val="0"/>
                  <w:marTop w:val="0"/>
                  <w:marBottom w:val="0"/>
                  <w:divBdr>
                    <w:top w:val="none" w:sz="0" w:space="0" w:color="auto"/>
                    <w:left w:val="none" w:sz="0" w:space="0" w:color="auto"/>
                    <w:bottom w:val="none" w:sz="0" w:space="0" w:color="auto"/>
                    <w:right w:val="none" w:sz="0" w:space="0" w:color="auto"/>
                  </w:divBdr>
                  <w:divsChild>
                    <w:div w:id="1611819833">
                      <w:marLeft w:val="0"/>
                      <w:marRight w:val="0"/>
                      <w:marTop w:val="0"/>
                      <w:marBottom w:val="0"/>
                      <w:divBdr>
                        <w:top w:val="none" w:sz="0" w:space="0" w:color="auto"/>
                        <w:left w:val="none" w:sz="0" w:space="0" w:color="auto"/>
                        <w:bottom w:val="none" w:sz="0" w:space="0" w:color="auto"/>
                        <w:right w:val="none" w:sz="0" w:space="0" w:color="auto"/>
                      </w:divBdr>
                      <w:divsChild>
                        <w:div w:id="404885277">
                          <w:marLeft w:val="0"/>
                          <w:marRight w:val="0"/>
                          <w:marTop w:val="0"/>
                          <w:marBottom w:val="0"/>
                          <w:divBdr>
                            <w:top w:val="none" w:sz="0" w:space="0" w:color="auto"/>
                            <w:left w:val="none" w:sz="0" w:space="0" w:color="auto"/>
                            <w:bottom w:val="none" w:sz="0" w:space="0" w:color="auto"/>
                            <w:right w:val="none" w:sz="0" w:space="0" w:color="auto"/>
                          </w:divBdr>
                          <w:divsChild>
                            <w:div w:id="1375428325">
                              <w:marLeft w:val="0"/>
                              <w:marRight w:val="0"/>
                              <w:marTop w:val="0"/>
                              <w:marBottom w:val="0"/>
                              <w:divBdr>
                                <w:top w:val="none" w:sz="0" w:space="0" w:color="auto"/>
                                <w:left w:val="none" w:sz="0" w:space="0" w:color="auto"/>
                                <w:bottom w:val="none" w:sz="0" w:space="0" w:color="auto"/>
                                <w:right w:val="none" w:sz="0" w:space="0" w:color="auto"/>
                              </w:divBdr>
                              <w:divsChild>
                                <w:div w:id="93597127">
                                  <w:marLeft w:val="0"/>
                                  <w:marRight w:val="0"/>
                                  <w:marTop w:val="0"/>
                                  <w:marBottom w:val="0"/>
                                  <w:divBdr>
                                    <w:top w:val="none" w:sz="0" w:space="0" w:color="auto"/>
                                    <w:left w:val="none" w:sz="0" w:space="0" w:color="auto"/>
                                    <w:bottom w:val="none" w:sz="0" w:space="0" w:color="auto"/>
                                    <w:right w:val="none" w:sz="0" w:space="0" w:color="auto"/>
                                  </w:divBdr>
                                  <w:divsChild>
                                    <w:div w:id="73833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156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abs.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DAhousing@ndis.gov.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www.ndis.gov.au/document/ndis-provider-portal-instructions" TargetMode="External"/><Relationship Id="rId2" Type="http://schemas.openxmlformats.org/officeDocument/2006/relationships/hyperlink" Target="http://www.ndis.gov.au/providers/pricing-and-payment" TargetMode="External"/><Relationship Id="rId1" Type="http://schemas.openxmlformats.org/officeDocument/2006/relationships/hyperlink" Target="http://www.ndis.gov.au/providers/registering-provider/terms-business" TargetMode="External"/><Relationship Id="rId4" Type="http://schemas.openxmlformats.org/officeDocument/2006/relationships/hyperlink" Target="http://www.livablehousingaustralia.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66F72D90B8E42044AD0CC7C6E574E1CC" ma:contentTypeVersion="" ma:contentTypeDescription="PDMS Documentation Content Type" ma:contentTypeScope="" ma:versionID="9d1a88a04379806993fcdbbbe4d3429e">
  <xsd:schema xmlns:xsd="http://www.w3.org/2001/XMLSchema" xmlns:xs="http://www.w3.org/2001/XMLSchema" xmlns:p="http://schemas.microsoft.com/office/2006/metadata/properties" xmlns:ns2="2786728F-8676-4514-B871-D6F48C80381B" targetNamespace="http://schemas.microsoft.com/office/2006/metadata/properties" ma:root="true" ma:fieldsID="ef061f6ca8eab8ee4e24cfbc240e111c" ns2:_="">
    <xsd:import namespace="2786728F-8676-4514-B871-D6F48C80381B"/>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6728F-8676-4514-B871-D6F48C80381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dms_Reason xmlns="2786728F-8676-4514-B871-D6F48C80381B" xsi:nil="true"/>
    <SecurityClassification xmlns="2786728F-8676-4514-B871-D6F48C80381B" xsi:nil="true"/>
    <pdms_SecurityClassification xmlns="2786728F-8676-4514-B871-D6F48C80381B" xsi:nil="true"/>
    <pdms_DocumentType xmlns="2786728F-8676-4514-B871-D6F48C80381B" xsi:nil="true"/>
    <pdms_AttachedBy xmlns="2786728F-8676-4514-B871-D6F48C8038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4BFFB-3C67-49AB-ADC6-2797771B0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6728F-8676-4514-B871-D6F48C8038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947872-5DED-4B62-8E43-C808C66E93B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2786728F-8676-4514-B871-D6F48C80381B"/>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4.xml><?xml version="1.0" encoding="utf-8"?>
<ds:datastoreItem xmlns:ds="http://schemas.openxmlformats.org/officeDocument/2006/customXml" ds:itemID="{C8906AC0-2C34-454C-9701-286D66AF3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7188</Words>
  <Characters>35512</Characters>
  <Application>Microsoft Office Word</Application>
  <DocSecurity>4</DocSecurity>
  <Lines>2219</Lines>
  <Paragraphs>2134</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40566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SDA Price Guide 1 April 2017</dc:title>
  <dc:creator>HOPPER, Nicholas</dc:creator>
  <cp:lastModifiedBy>ROMAIN, Belinda</cp:lastModifiedBy>
  <cp:revision>2</cp:revision>
  <cp:lastPrinted>2017-03-02T05:14:00Z</cp:lastPrinted>
  <dcterms:created xsi:type="dcterms:W3CDTF">2017-03-31T03:35:00Z</dcterms:created>
  <dcterms:modified xsi:type="dcterms:W3CDTF">2017-03-31T03:35:00Z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0x010100266966F133664895A6EE3632470D45F5010066F72D90B8E42044AD0CC7C6E574E1CC</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